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b w:val="0"/>
          <w:bCs/>
          <w:lang w:val="en-US" w:eastAsia="zh-CN"/>
        </w:rPr>
      </w:pPr>
      <w:r>
        <w:rPr>
          <w:rFonts w:hint="default"/>
          <w:b w:val="0"/>
          <w:bCs/>
          <w:lang w:val="en-US" w:eastAsia="zh-CN"/>
        </w:rPr>
        <w:t>附件2</w:t>
      </w:r>
    </w:p>
    <w:p>
      <w:pPr>
        <w:rPr>
          <w:rFonts w:hint="default" w:ascii="Times New Roman" w:hAnsi="Times New Roman" w:eastAsia="黑体"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ind w:left="0" w:leftChars="0" w:firstLine="0" w:firstLineChars="0"/>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pStyle w:val="2"/>
        <w:rPr>
          <w:rFonts w:hint="default" w:ascii="Times New Roman" w:hAnsi="Times New Roman" w:eastAsia="方正仿宋简体" w:cs="Times New Roman"/>
          <w:sz w:val="32"/>
          <w:highlight w:val="none"/>
        </w:rPr>
      </w:pPr>
    </w:p>
    <w:p>
      <w:pPr>
        <w:rPr>
          <w:rFonts w:hint="default"/>
        </w:rPr>
      </w:pPr>
    </w:p>
    <w:p>
      <w:pPr>
        <w:pStyle w:val="2"/>
        <w:rPr>
          <w:rFonts w:hint="default" w:ascii="Times New Roman" w:hAnsi="Times New Roman"/>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cs="Times New Roman"/>
          <w:sz w:val="30"/>
          <w:highlight w:val="none"/>
          <w:lang w:val="en-US" w:eastAsia="zh-CN"/>
        </w:rPr>
        <w:t>河南省工业和信息化厅</w:t>
      </w:r>
      <w:r>
        <w:rPr>
          <w:rFonts w:hint="default" w:ascii="Times New Roman" w:hAnsi="Times New Roman" w:eastAsia="仿宋" w:cs="Times New Roman"/>
          <w:sz w:val="30"/>
          <w:highlight w:val="none"/>
        </w:rPr>
        <w:t>制</w:t>
      </w:r>
    </w:p>
    <w:p>
      <w:pPr>
        <w:jc w:val="center"/>
        <w:rPr>
          <w:rFonts w:hint="default" w:ascii="Times New Roman" w:hAnsi="Times New Roman" w:eastAsia="仿宋_GB2312" w:cs="Times New Roman"/>
          <w:sz w:val="32"/>
          <w:szCs w:val="32"/>
          <w:highlight w:val="none"/>
        </w:rPr>
      </w:pPr>
      <w:r>
        <w:rPr>
          <w:rFonts w:hint="eastAsia" w:cs="Times New Roman"/>
          <w:sz w:val="30"/>
          <w:highlight w:val="none"/>
          <w:lang w:val="en-US" w:eastAsia="zh-CN"/>
        </w:rPr>
        <w:t xml:space="preserve">  </w:t>
      </w:r>
      <w:r>
        <w:rPr>
          <w:rFonts w:hint="default" w:ascii="Times New Roman" w:hAnsi="Times New Roman" w:eastAsia="仿宋" w:cs="Times New Roman"/>
          <w:sz w:val="30"/>
          <w:highlight w:val="none"/>
        </w:rPr>
        <w:t xml:space="preserve">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22" w:type="dxa"/>
            <w:gridSpan w:val="6"/>
            <w:noWrap w:val="0"/>
            <w:vAlign w:val="center"/>
          </w:tcPr>
          <w:p>
            <w:pPr>
              <w:pStyle w:val="16"/>
              <w:bidi w:val="0"/>
              <w:jc w:val="both"/>
              <w:rPr>
                <w:rFonts w:hint="default" w:cs="Times New Roman"/>
              </w:rPr>
            </w:pPr>
            <w:r>
              <w:rPr>
                <w:rFonts w:hint="default" w:cs="Times New Roman"/>
                <w:b/>
                <w:bCs/>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工厂名称</w:t>
            </w:r>
          </w:p>
        </w:tc>
        <w:tc>
          <w:tcPr>
            <w:tcW w:w="6621" w:type="dxa"/>
            <w:gridSpan w:val="5"/>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工厂地址</w:t>
            </w:r>
          </w:p>
        </w:tc>
        <w:tc>
          <w:tcPr>
            <w:tcW w:w="6621" w:type="dxa"/>
            <w:gridSpan w:val="5"/>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lang w:eastAsia="zh-CN"/>
              </w:rPr>
            </w:pPr>
            <w:r>
              <w:rPr>
                <w:rFonts w:hint="default" w:cs="Times New Roman"/>
                <w:lang w:eastAsia="zh-CN"/>
              </w:rPr>
              <w:t>所属行业</w:t>
            </w:r>
          </w:p>
        </w:tc>
        <w:tc>
          <w:tcPr>
            <w:tcW w:w="2602" w:type="dxa"/>
            <w:gridSpan w:val="2"/>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lang w:eastAsia="zh-CN"/>
              </w:rPr>
            </w:pPr>
            <w:r>
              <w:rPr>
                <w:rFonts w:hint="default" w:cs="Times New Roman"/>
                <w:lang w:eastAsia="zh-CN"/>
              </w:rPr>
              <w:t>主要产品</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lang w:eastAsia="zh-CN"/>
              </w:rPr>
              <w:t>单位</w:t>
            </w:r>
            <w:r>
              <w:rPr>
                <w:rFonts w:hint="default" w:cs="Times New Roman"/>
              </w:rPr>
              <w:t>性质</w:t>
            </w:r>
          </w:p>
        </w:tc>
        <w:tc>
          <w:tcPr>
            <w:tcW w:w="6621" w:type="dxa"/>
            <w:gridSpan w:val="5"/>
            <w:noWrap w:val="0"/>
            <w:vAlign w:val="center"/>
          </w:tcPr>
          <w:p>
            <w:pPr>
              <w:pStyle w:val="16"/>
              <w:bidi w:val="0"/>
              <w:rPr>
                <w:rFonts w:hint="default" w:cs="Times New Roman"/>
              </w:rPr>
            </w:pPr>
            <w:r>
              <w:rPr>
                <w:rFonts w:hint="default" w:cs="Times New Roman"/>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widowControl/>
              <w:jc w:val="center"/>
              <w:rPr>
                <w:rFonts w:hint="default"/>
              </w:rPr>
            </w:pPr>
            <w:r>
              <w:rPr>
                <w:rFonts w:hint="default"/>
              </w:rPr>
              <w:t>统一社会</w:t>
            </w:r>
          </w:p>
          <w:p>
            <w:pPr>
              <w:pStyle w:val="16"/>
              <w:widowControl/>
              <w:ind w:firstLine="0" w:firstLineChars="0"/>
              <w:jc w:val="center"/>
              <w:rPr>
                <w:rFonts w:hint="default"/>
                <w:lang w:eastAsia="zh-CN"/>
              </w:rPr>
            </w:pPr>
            <w:r>
              <w:rPr>
                <w:rFonts w:hint="default"/>
              </w:rPr>
              <w:t>信用代码</w:t>
            </w:r>
          </w:p>
        </w:tc>
        <w:tc>
          <w:tcPr>
            <w:tcW w:w="2207" w:type="dxa"/>
            <w:noWrap w:val="0"/>
            <w:vAlign w:val="center"/>
          </w:tcPr>
          <w:p>
            <w:pPr>
              <w:pStyle w:val="16"/>
              <w:widowControl/>
              <w:ind w:firstLine="480" w:firstLineChars="200"/>
              <w:jc w:val="center"/>
              <w:rPr>
                <w:rFonts w:hint="default"/>
              </w:rPr>
            </w:pPr>
          </w:p>
        </w:tc>
        <w:tc>
          <w:tcPr>
            <w:tcW w:w="2207" w:type="dxa"/>
            <w:gridSpan w:val="3"/>
            <w:noWrap w:val="0"/>
            <w:vAlign w:val="center"/>
          </w:tcPr>
          <w:p>
            <w:pPr>
              <w:pStyle w:val="16"/>
              <w:widowControl/>
              <w:ind w:firstLine="0" w:firstLineChars="0"/>
              <w:jc w:val="center"/>
              <w:rPr>
                <w:rFonts w:hint="default"/>
              </w:rPr>
            </w:pPr>
            <w:r>
              <w:rPr>
                <w:rFonts w:hint="default"/>
              </w:rPr>
              <w:t>法定代表人</w:t>
            </w:r>
          </w:p>
        </w:tc>
        <w:tc>
          <w:tcPr>
            <w:tcW w:w="2207" w:type="dxa"/>
            <w:noWrap w:val="0"/>
            <w:vAlign w:val="center"/>
          </w:tcPr>
          <w:p>
            <w:pPr>
              <w:pStyle w:val="16"/>
              <w:widowControl/>
              <w:ind w:firstLine="480" w:firstLineChars="20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widowControl/>
              <w:jc w:val="center"/>
              <w:rPr>
                <w:rFonts w:hint="default"/>
              </w:rPr>
            </w:pPr>
            <w:r>
              <w:rPr>
                <w:rFonts w:hint="default"/>
              </w:rPr>
              <w:t>申报工作</w:t>
            </w:r>
          </w:p>
          <w:p>
            <w:pPr>
              <w:pStyle w:val="16"/>
              <w:widowControl/>
              <w:ind w:firstLine="0" w:firstLineChars="0"/>
              <w:jc w:val="center"/>
              <w:rPr>
                <w:rFonts w:hint="default"/>
                <w:lang w:eastAsia="zh-CN"/>
              </w:rPr>
            </w:pPr>
            <w:r>
              <w:rPr>
                <w:rFonts w:hint="default"/>
              </w:rPr>
              <w:t>联系部门</w:t>
            </w:r>
          </w:p>
        </w:tc>
        <w:tc>
          <w:tcPr>
            <w:tcW w:w="2207" w:type="dxa"/>
            <w:noWrap w:val="0"/>
            <w:vAlign w:val="center"/>
          </w:tcPr>
          <w:p>
            <w:pPr>
              <w:pStyle w:val="16"/>
              <w:widowControl/>
              <w:ind w:firstLine="480" w:firstLineChars="200"/>
              <w:jc w:val="left"/>
              <w:rPr>
                <w:rFonts w:hint="default"/>
              </w:rPr>
            </w:pPr>
          </w:p>
        </w:tc>
        <w:tc>
          <w:tcPr>
            <w:tcW w:w="2207" w:type="dxa"/>
            <w:gridSpan w:val="3"/>
            <w:noWrap w:val="0"/>
            <w:vAlign w:val="center"/>
          </w:tcPr>
          <w:p>
            <w:pPr>
              <w:pStyle w:val="16"/>
              <w:widowControl/>
              <w:ind w:firstLine="0" w:firstLineChars="0"/>
              <w:jc w:val="center"/>
              <w:rPr>
                <w:rFonts w:hint="default"/>
              </w:rPr>
            </w:pPr>
            <w:r>
              <w:rPr>
                <w:rFonts w:hint="default"/>
              </w:rPr>
              <w:t>联系人</w:t>
            </w:r>
          </w:p>
        </w:tc>
        <w:tc>
          <w:tcPr>
            <w:tcW w:w="2207" w:type="dxa"/>
            <w:noWrap w:val="0"/>
            <w:vAlign w:val="center"/>
          </w:tcPr>
          <w:p>
            <w:pPr>
              <w:pStyle w:val="16"/>
              <w:widowControl/>
              <w:ind w:firstLine="480" w:firstLineChars="20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widowControl/>
              <w:ind w:firstLine="0" w:firstLineChars="0"/>
              <w:jc w:val="center"/>
              <w:rPr>
                <w:rFonts w:hint="default"/>
                <w:lang w:eastAsia="zh-CN"/>
              </w:rPr>
            </w:pPr>
            <w:r>
              <w:rPr>
                <w:rFonts w:hint="default"/>
              </w:rPr>
              <w:t>联系电话</w:t>
            </w:r>
          </w:p>
        </w:tc>
        <w:tc>
          <w:tcPr>
            <w:tcW w:w="2207" w:type="dxa"/>
            <w:noWrap w:val="0"/>
            <w:vAlign w:val="center"/>
          </w:tcPr>
          <w:p>
            <w:pPr>
              <w:pStyle w:val="16"/>
              <w:widowControl/>
              <w:ind w:firstLine="480" w:firstLineChars="200"/>
              <w:jc w:val="left"/>
              <w:rPr>
                <w:rFonts w:hint="default"/>
              </w:rPr>
            </w:pPr>
          </w:p>
        </w:tc>
        <w:tc>
          <w:tcPr>
            <w:tcW w:w="2207" w:type="dxa"/>
            <w:gridSpan w:val="3"/>
            <w:noWrap w:val="0"/>
            <w:vAlign w:val="center"/>
          </w:tcPr>
          <w:p>
            <w:pPr>
              <w:pStyle w:val="16"/>
              <w:widowControl/>
              <w:ind w:firstLine="0" w:firstLineChars="0"/>
              <w:jc w:val="center"/>
              <w:rPr>
                <w:rFonts w:hint="default"/>
              </w:rPr>
            </w:pPr>
            <w:r>
              <w:rPr>
                <w:rFonts w:hint="default"/>
              </w:rPr>
              <w:t>电子邮箱</w:t>
            </w:r>
          </w:p>
        </w:tc>
        <w:tc>
          <w:tcPr>
            <w:tcW w:w="2207" w:type="dxa"/>
            <w:noWrap w:val="0"/>
            <w:vAlign w:val="center"/>
          </w:tcPr>
          <w:p>
            <w:pPr>
              <w:pStyle w:val="16"/>
              <w:widowControl/>
              <w:ind w:firstLine="480" w:firstLineChars="20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22" w:type="dxa"/>
            <w:gridSpan w:val="6"/>
            <w:noWrap w:val="0"/>
            <w:vAlign w:val="center"/>
          </w:tcPr>
          <w:p>
            <w:pPr>
              <w:pStyle w:val="16"/>
              <w:bidi w:val="0"/>
              <w:jc w:val="both"/>
              <w:rPr>
                <w:rFonts w:hint="default" w:cs="Times New Roman"/>
                <w:b/>
                <w:bCs/>
              </w:rPr>
            </w:pPr>
            <w:r>
              <w:rPr>
                <w:rFonts w:hint="default" w:cs="Times New Roman"/>
                <w:b/>
                <w:bCs/>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第三方机构名称</w:t>
            </w:r>
          </w:p>
        </w:tc>
        <w:tc>
          <w:tcPr>
            <w:tcW w:w="6621" w:type="dxa"/>
            <w:gridSpan w:val="5"/>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第三方机构地址</w:t>
            </w:r>
          </w:p>
        </w:tc>
        <w:tc>
          <w:tcPr>
            <w:tcW w:w="6621" w:type="dxa"/>
            <w:gridSpan w:val="5"/>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机构法定代表人</w:t>
            </w:r>
          </w:p>
        </w:tc>
        <w:tc>
          <w:tcPr>
            <w:tcW w:w="2602" w:type="dxa"/>
            <w:gridSpan w:val="2"/>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法人代表电话</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机构联系人</w:t>
            </w:r>
          </w:p>
        </w:tc>
        <w:tc>
          <w:tcPr>
            <w:tcW w:w="2602" w:type="dxa"/>
            <w:gridSpan w:val="2"/>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联系人电话</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报告编制负责人</w:t>
            </w:r>
          </w:p>
        </w:tc>
        <w:tc>
          <w:tcPr>
            <w:tcW w:w="2602" w:type="dxa"/>
            <w:gridSpan w:val="2"/>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负责人电话</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rPr>
              <w:t>报告审核人</w:t>
            </w:r>
          </w:p>
        </w:tc>
        <w:tc>
          <w:tcPr>
            <w:tcW w:w="2602" w:type="dxa"/>
            <w:gridSpan w:val="2"/>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审核人电话</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22" w:type="dxa"/>
            <w:gridSpan w:val="6"/>
            <w:noWrap w:val="0"/>
            <w:vAlign w:val="center"/>
          </w:tcPr>
          <w:p>
            <w:pPr>
              <w:pStyle w:val="16"/>
              <w:bidi w:val="0"/>
              <w:jc w:val="both"/>
              <w:rPr>
                <w:rFonts w:hint="default" w:cs="Times New Roman"/>
              </w:rPr>
            </w:pPr>
            <w:r>
              <w:rPr>
                <w:rFonts w:hint="default" w:cs="Times New Roman"/>
                <w:b/>
                <w:bCs/>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pStyle w:val="16"/>
              <w:bidi w:val="0"/>
              <w:rPr>
                <w:rFonts w:hint="default" w:cs="Times New Roman"/>
              </w:rPr>
            </w:pPr>
            <w:r>
              <w:rPr>
                <w:rFonts w:hint="default" w:cs="Times New Roman"/>
                <w:lang w:eastAsia="zh-CN"/>
              </w:rPr>
              <w:t>基本</w:t>
            </w:r>
            <w:r>
              <w:rPr>
                <w:rFonts w:hint="default" w:cs="Times New Roman"/>
              </w:rPr>
              <w:t>要求</w:t>
            </w:r>
          </w:p>
        </w:tc>
        <w:tc>
          <w:tcPr>
            <w:tcW w:w="2602" w:type="dxa"/>
            <w:gridSpan w:val="2"/>
            <w:noWrap w:val="0"/>
            <w:vAlign w:val="center"/>
          </w:tcPr>
          <w:p>
            <w:pPr>
              <w:pStyle w:val="16"/>
              <w:bidi w:val="0"/>
              <w:rPr>
                <w:rFonts w:hint="default" w:cs="Times New Roman"/>
              </w:rPr>
            </w:pPr>
            <w:r>
              <w:rPr>
                <w:rFonts w:hint="default" w:cs="Times New Roman"/>
              </w:rPr>
              <w:t>□符合  □不符合</w:t>
            </w:r>
          </w:p>
        </w:tc>
        <w:tc>
          <w:tcPr>
            <w:tcW w:w="1701" w:type="dxa"/>
            <w:noWrap w:val="0"/>
            <w:vAlign w:val="center"/>
          </w:tcPr>
          <w:p>
            <w:pPr>
              <w:pStyle w:val="16"/>
              <w:bidi w:val="0"/>
              <w:rPr>
                <w:rFonts w:hint="default" w:cs="Times New Roman"/>
              </w:rPr>
            </w:pPr>
            <w:r>
              <w:rPr>
                <w:rFonts w:hint="default" w:cs="Times New Roman"/>
              </w:rPr>
              <w:t>指标</w:t>
            </w:r>
            <w:r>
              <w:rPr>
                <w:rFonts w:hint="default" w:cs="Times New Roman"/>
                <w:lang w:eastAsia="zh-CN"/>
              </w:rPr>
              <w:t>得分</w:t>
            </w:r>
          </w:p>
        </w:tc>
        <w:tc>
          <w:tcPr>
            <w:tcW w:w="2318" w:type="dxa"/>
            <w:gridSpan w:val="2"/>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01" w:type="dxa"/>
            <w:noWrap w:val="0"/>
            <w:vAlign w:val="center"/>
          </w:tcPr>
          <w:p>
            <w:pPr>
              <w:pStyle w:val="16"/>
              <w:bidi w:val="0"/>
              <w:rPr>
                <w:rFonts w:hint="default" w:cs="Times New Roman"/>
                <w:lang w:val="en-US" w:eastAsia="zh-CN"/>
              </w:rPr>
            </w:pPr>
            <w:r>
              <w:rPr>
                <w:rFonts w:hint="default" w:cs="Times New Roman"/>
                <w:lang w:val="en-US" w:eastAsia="zh-CN"/>
              </w:rPr>
              <w:t>受评价方主要</w:t>
            </w:r>
          </w:p>
          <w:p>
            <w:pPr>
              <w:pStyle w:val="16"/>
              <w:bidi w:val="0"/>
              <w:rPr>
                <w:rFonts w:hint="default" w:cs="Times New Roman"/>
                <w:lang w:val="en-US" w:eastAsia="zh-CN"/>
              </w:rPr>
            </w:pPr>
            <w:r>
              <w:rPr>
                <w:rFonts w:hint="default" w:cs="Times New Roman"/>
                <w:lang w:val="en-US" w:eastAsia="zh-CN"/>
              </w:rPr>
              <w:t>亮点</w:t>
            </w:r>
          </w:p>
        </w:tc>
        <w:tc>
          <w:tcPr>
            <w:tcW w:w="6621" w:type="dxa"/>
            <w:gridSpan w:val="5"/>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pPr>
              <w:pStyle w:val="16"/>
              <w:bidi w:val="0"/>
              <w:ind w:firstLine="0" w:firstLineChars="0"/>
              <w:jc w:val="left"/>
              <w:rPr>
                <w:rFonts w:hint="default" w:cs="Times New Roman"/>
              </w:rPr>
            </w:pPr>
            <w:r>
              <w:rPr>
                <w:rFonts w:hint="default" w:cs="Times New Roman"/>
              </w:rPr>
              <w:t>本机构承诺，已</w:t>
            </w:r>
            <w:r>
              <w:rPr>
                <w:rFonts w:hint="default" w:cs="Times New Roman"/>
                <w:lang w:val="en-US" w:eastAsia="zh-CN"/>
              </w:rPr>
              <w:t>按规范完整的评价程序对受评价方</w:t>
            </w:r>
            <w:r>
              <w:rPr>
                <w:rFonts w:hint="default" w:cs="Times New Roman"/>
              </w:rPr>
              <w:t>进行了全面</w:t>
            </w:r>
            <w:r>
              <w:rPr>
                <w:rFonts w:hint="default" w:cs="Times New Roman"/>
                <w:lang w:val="en-US" w:eastAsia="zh-CN"/>
              </w:rPr>
              <w:t>的评价</w:t>
            </w:r>
            <w:r>
              <w:rPr>
                <w:rFonts w:hint="default" w:cs="Times New Roman"/>
              </w:rPr>
              <w:t>，</w:t>
            </w:r>
            <w:r>
              <w:rPr>
                <w:rFonts w:hint="default" w:cs="Times New Roman"/>
                <w:lang w:val="en-US" w:eastAsia="zh-CN"/>
              </w:rPr>
              <w:t>受评价方提交的</w:t>
            </w:r>
            <w:r>
              <w:rPr>
                <w:rFonts w:hint="default" w:cs="Times New Roman"/>
              </w:rPr>
              <w:t>材料真实有效，</w:t>
            </w:r>
            <w:r>
              <w:rPr>
                <w:rFonts w:hint="default" w:cs="Times New Roman"/>
                <w:lang w:val="en-US" w:eastAsia="zh-CN"/>
              </w:rPr>
              <w:t>本评价报告</w:t>
            </w:r>
            <w:r>
              <w:rPr>
                <w:rFonts w:hint="default" w:cs="Times New Roman"/>
              </w:rPr>
              <w:t>客观公正</w:t>
            </w:r>
            <w:r>
              <w:rPr>
                <w:rFonts w:hint="default" w:cs="Times New Roman"/>
                <w:lang w:eastAsia="zh-CN"/>
              </w:rPr>
              <w:t>，</w:t>
            </w:r>
            <w:r>
              <w:rPr>
                <w:rFonts w:hint="default" w:cs="Times New Roman"/>
                <w:lang w:val="en-US" w:eastAsia="zh-CN"/>
              </w:rPr>
              <w:t>结论证据充分，真实、准确的反映了评价过程的发现，严谨的出具结论</w:t>
            </w:r>
            <w:r>
              <w:rPr>
                <w:rFonts w:hint="default" w:cs="Times New Roman"/>
              </w:rPr>
              <w:t>。</w:t>
            </w:r>
            <w:r>
              <w:rPr>
                <w:rFonts w:hint="default" w:cs="Times New Roman"/>
                <w:lang w:val="en-US" w:eastAsia="zh-CN"/>
              </w:rPr>
              <w:t>本机构已充分了解评价报告的严肃性，</w:t>
            </w:r>
            <w:r>
              <w:rPr>
                <w:rFonts w:hint="default" w:cs="Times New Roman"/>
              </w:rPr>
              <w:t>评价过程</w:t>
            </w:r>
            <w:r>
              <w:rPr>
                <w:rFonts w:hint="default" w:cs="Times New Roman"/>
                <w:lang w:val="en-US" w:eastAsia="zh-CN"/>
              </w:rPr>
              <w:t>若</w:t>
            </w:r>
            <w:r>
              <w:rPr>
                <w:rFonts w:hint="default" w:cs="Times New Roman"/>
              </w:rPr>
              <w:t>存在弄虚作假或故意隐瞒受评价方问题，本机构愿承担</w:t>
            </w:r>
            <w:r>
              <w:rPr>
                <w:rFonts w:hint="default" w:cs="Times New Roman"/>
                <w:lang w:val="en-US" w:eastAsia="zh-CN"/>
              </w:rPr>
              <w:t>所有</w:t>
            </w:r>
            <w:r>
              <w:rPr>
                <w:rFonts w:hint="default" w:cs="Times New Roman"/>
              </w:rPr>
              <w:t>责任。</w:t>
            </w:r>
          </w:p>
          <w:p>
            <w:pPr>
              <w:pStyle w:val="16"/>
              <w:bidi w:val="0"/>
              <w:rPr>
                <w:rFonts w:hint="default" w:cs="Times New Roman"/>
              </w:rPr>
            </w:pPr>
          </w:p>
          <w:p>
            <w:pPr>
              <w:pStyle w:val="16"/>
              <w:bidi w:val="0"/>
              <w:rPr>
                <w:rFonts w:hint="default" w:cs="Times New Roman"/>
              </w:rPr>
            </w:pPr>
            <w:r>
              <w:rPr>
                <w:rFonts w:hint="default" w:cs="Times New Roman"/>
                <w:lang w:val="en-US" w:eastAsia="zh-CN"/>
              </w:rPr>
              <w:t>法定代表人</w:t>
            </w:r>
            <w:r>
              <w:rPr>
                <w:rFonts w:hint="default" w:cs="Times New Roman"/>
              </w:rPr>
              <w:t xml:space="preserve">签字：             </w:t>
            </w:r>
          </w:p>
          <w:p>
            <w:pPr>
              <w:pStyle w:val="16"/>
              <w:bidi w:val="0"/>
              <w:rPr>
                <w:rFonts w:hint="default" w:cs="Times New Roman"/>
              </w:rPr>
            </w:pPr>
            <w:r>
              <w:rPr>
                <w:rFonts w:hint="default" w:cs="Times New Roman"/>
              </w:rPr>
              <w:t xml:space="preserve">（单位公章）               </w:t>
            </w:r>
          </w:p>
        </w:tc>
      </w:tr>
    </w:tbl>
    <w:p>
      <w:pPr>
        <w:bidi w:val="0"/>
        <w:rPr>
          <w:rFonts w:hint="default"/>
        </w:rPr>
      </w:pPr>
      <w:r>
        <w:rPr>
          <w:rFonts w:hint="default"/>
        </w:rPr>
        <w:br w:type="page"/>
      </w:r>
    </w:p>
    <w:p>
      <w:pPr>
        <w:bidi w:val="0"/>
        <w:spacing w:line="600" w:lineRule="exact"/>
        <w:ind w:left="0" w:leftChars="0" w:firstLine="0" w:firstLineChars="0"/>
        <w:jc w:val="center"/>
        <w:rPr>
          <w:rFonts w:hint="default" w:ascii="Times New Roman" w:hAnsi="Times New Roman" w:eastAsia="黑体" w:cs="Times New Roman"/>
          <w:bCs/>
          <w:color w:val="000000"/>
          <w:highlight w:val="none"/>
        </w:rPr>
      </w:pPr>
      <w:r>
        <w:rPr>
          <w:rFonts w:hint="default" w:ascii="Times New Roman" w:hAnsi="Times New Roman" w:eastAsia="黑体" w:cs="Times New Roman"/>
        </w:rPr>
        <w:t>绿色工厂评价报告（格式）</w:t>
      </w:r>
    </w:p>
    <w:p>
      <w:pPr>
        <w:spacing w:line="52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pStyle w:val="18"/>
        <w:bidi w:val="0"/>
        <w:spacing w:line="520" w:lineRule="exact"/>
        <w:rPr>
          <w:rFonts w:hint="default"/>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pStyle w:val="18"/>
        <w:bidi w:val="0"/>
        <w:spacing w:line="520" w:lineRule="exact"/>
        <w:rPr>
          <w:rFonts w:hint="default"/>
        </w:rPr>
      </w:pPr>
      <w:r>
        <w:rPr>
          <w:rFonts w:hint="default"/>
        </w:rPr>
        <w:t>主要介绍评价组织安排、文件评审情况、现场</w:t>
      </w:r>
      <w:r>
        <w:rPr>
          <w:rFonts w:hint="default"/>
          <w:lang w:eastAsia="zh-CN"/>
        </w:rPr>
        <w:t>评价</w:t>
      </w:r>
      <w:r>
        <w:rPr>
          <w:rFonts w:hint="default"/>
        </w:rPr>
        <w:t>情况、核查报告编写及内部技术复核情况。</w:t>
      </w:r>
    </w:p>
    <w:p>
      <w:p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spacing w:line="520" w:lineRule="exact"/>
        <w:ind w:firstLine="640" w:firstLineChars="200"/>
        <w:rPr>
          <w:rFonts w:hint="default"/>
        </w:rPr>
      </w:pPr>
      <w:r>
        <w:rPr>
          <w:rFonts w:hint="default"/>
        </w:rPr>
        <w:t>第三方应按以下内容对申报工厂材料进行评价：</w:t>
      </w:r>
    </w:p>
    <w:p>
      <w:pPr>
        <w:numPr>
          <w:ilvl w:val="0"/>
          <w:numId w:val="0"/>
        </w:numPr>
        <w:spacing w:line="520" w:lineRule="exact"/>
        <w:ind w:left="0" w:firstLine="640" w:firstLineChars="200"/>
        <w:rPr>
          <w:rFonts w:hint="default"/>
        </w:rPr>
      </w:pPr>
      <w:r>
        <w:rPr>
          <w:rFonts w:hint="default"/>
          <w:lang w:val="en-US" w:eastAsia="zh-CN"/>
        </w:rPr>
        <w:t>1、对工厂申报基本要求的核查情况；</w:t>
      </w:r>
    </w:p>
    <w:p>
      <w:pPr>
        <w:numPr>
          <w:ilvl w:val="0"/>
          <w:numId w:val="0"/>
        </w:numPr>
        <w:spacing w:line="520" w:lineRule="exact"/>
        <w:ind w:left="0" w:firstLine="640" w:firstLineChars="200"/>
        <w:rPr>
          <w:rFonts w:hint="eastAsia"/>
          <w:lang w:val="en-US" w:eastAsia="zh-CN"/>
        </w:rPr>
      </w:pPr>
      <w:r>
        <w:rPr>
          <w:rFonts w:hint="default"/>
          <w:lang w:val="en-US" w:eastAsia="zh-CN"/>
        </w:rPr>
        <w:t>2、</w:t>
      </w:r>
      <w:r>
        <w:rPr>
          <w:rFonts w:hint="default"/>
        </w:rPr>
        <w:t>对工厂基础设施、管理体系、能源</w:t>
      </w:r>
      <w:r>
        <w:rPr>
          <w:rFonts w:hint="default"/>
          <w:lang w:eastAsia="zh-CN"/>
        </w:rPr>
        <w:t>与</w:t>
      </w:r>
      <w:r>
        <w:rPr>
          <w:rFonts w:hint="default"/>
        </w:rPr>
        <w:t>资源投入、产品、环境排放、绩效等方面内容</w:t>
      </w:r>
      <w:r>
        <w:rPr>
          <w:rFonts w:hint="default"/>
          <w:lang w:val="en-US" w:eastAsia="zh-CN"/>
        </w:rPr>
        <w:t>的</w:t>
      </w:r>
      <w:r>
        <w:rPr>
          <w:rFonts w:hint="default"/>
        </w:rPr>
        <w:t>核实</w:t>
      </w:r>
      <w:r>
        <w:rPr>
          <w:rFonts w:hint="default"/>
          <w:lang w:val="en-US" w:eastAsia="zh-CN"/>
        </w:rPr>
        <w:t>情况</w:t>
      </w:r>
      <w:r>
        <w:rPr>
          <w:rFonts w:hint="eastAsia"/>
          <w:lang w:val="en-US" w:eastAsia="zh-CN"/>
        </w:rPr>
        <w:t>；</w:t>
      </w:r>
    </w:p>
    <w:p>
      <w:pPr>
        <w:pStyle w:val="18"/>
        <w:bidi w:val="0"/>
        <w:spacing w:line="520" w:lineRule="exact"/>
        <w:rPr>
          <w:rFonts w:hint="default" w:ascii="Times New Roman" w:hAnsi="Times New Roman" w:eastAsia="仿宋" w:cs="Times New Roman"/>
          <w:szCs w:val="30"/>
          <w:highlight w:val="none"/>
        </w:rPr>
      </w:pPr>
      <w:r>
        <w:rPr>
          <w:rFonts w:hint="eastAsia"/>
          <w:lang w:val="en-US" w:eastAsia="zh-CN"/>
        </w:rPr>
        <w:t>3、企业在“零碳”工厂创建方面开展的工作情况（将作为加分项）。</w:t>
      </w:r>
    </w:p>
    <w:p>
      <w:p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pStyle w:val="18"/>
        <w:bidi w:val="0"/>
        <w:spacing w:line="520" w:lineRule="exact"/>
        <w:rPr>
          <w:rFonts w:hint="default"/>
        </w:rPr>
      </w:pPr>
      <w:r>
        <w:rPr>
          <w:rFonts w:hint="default"/>
        </w:rPr>
        <w:t>对申报工厂是否符合绿色工厂要求进行评价，</w:t>
      </w:r>
      <w:r>
        <w:rPr>
          <w:rFonts w:hint="default"/>
          <w:lang w:val="en-US" w:eastAsia="zh-CN"/>
        </w:rPr>
        <w:t>给出评价得分</w:t>
      </w:r>
      <w:r>
        <w:rPr>
          <w:rFonts w:hint="default"/>
        </w:rPr>
        <w:t>，描述主要创建做法</w:t>
      </w:r>
      <w:r>
        <w:rPr>
          <w:rFonts w:hint="default"/>
          <w:lang w:eastAsia="zh-CN"/>
        </w:rPr>
        <w:t>、</w:t>
      </w:r>
      <w:r>
        <w:rPr>
          <w:rFonts w:hint="default"/>
        </w:rPr>
        <w:t>工作亮点</w:t>
      </w:r>
      <w:r>
        <w:rPr>
          <w:rFonts w:hint="default"/>
          <w:lang w:val="en-US" w:eastAsia="zh-CN"/>
        </w:rPr>
        <w:t>和仍存在的问题</w:t>
      </w:r>
      <w:r>
        <w:rPr>
          <w:rFonts w:hint="default"/>
        </w:rPr>
        <w:t>等。</w:t>
      </w:r>
    </w:p>
    <w:p>
      <w:p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pStyle w:val="18"/>
        <w:bidi w:val="0"/>
        <w:spacing w:line="520" w:lineRule="exact"/>
        <w:rPr>
          <w:rFonts w:hint="default" w:ascii="Times New Roman" w:hAnsi="Times New Roman" w:eastAsia="仿宋" w:cs="Times New Roman"/>
          <w:szCs w:val="30"/>
          <w:highlight w:val="none"/>
        </w:rPr>
      </w:pPr>
      <w:r>
        <w:rPr>
          <w:rFonts w:hint="default"/>
        </w:rPr>
        <w:t>对工厂持续创建绿色工厂的下一步工作提出建议。</w:t>
      </w:r>
    </w:p>
    <w:p>
      <w:p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pStyle w:val="18"/>
        <w:bidi w:val="0"/>
        <w:spacing w:line="520" w:lineRule="exact"/>
        <w:rPr>
          <w:rFonts w:hint="default" w:ascii="Times New Roman" w:hAnsi="Times New Roman" w:eastAsia="仿宋" w:cs="Times New Roman"/>
          <w:szCs w:val="30"/>
          <w:highlight w:val="none"/>
        </w:rPr>
      </w:pPr>
      <w:r>
        <w:rPr>
          <w:rFonts w:hint="default"/>
        </w:rPr>
        <w:t>列出报告编写过程中所使用的相关参考文件（与</w:t>
      </w:r>
      <w:r>
        <w:rPr>
          <w:rFonts w:hint="default"/>
          <w:lang w:eastAsia="zh-CN"/>
        </w:rPr>
        <w:t>附表</w:t>
      </w:r>
      <w:r>
        <w:rPr>
          <w:rFonts w:hint="eastAsia"/>
          <w:lang w:val="en-US" w:eastAsia="zh-CN"/>
        </w:rPr>
        <w:t>1</w:t>
      </w:r>
      <w:r>
        <w:rPr>
          <w:rFonts w:hint="default"/>
          <w:lang w:val="en-US" w:eastAsia="zh-CN"/>
        </w:rPr>
        <w:t>.1及附表</w:t>
      </w:r>
      <w:r>
        <w:rPr>
          <w:rFonts w:hint="eastAsia"/>
          <w:lang w:val="en-US" w:eastAsia="zh-CN"/>
        </w:rPr>
        <w:t>1</w:t>
      </w:r>
      <w:r>
        <w:rPr>
          <w:rFonts w:hint="default"/>
          <w:lang w:val="en-US" w:eastAsia="zh-CN"/>
        </w:rPr>
        <w:t>.2</w:t>
      </w:r>
      <w:r>
        <w:rPr>
          <w:rFonts w:hint="default"/>
        </w:rPr>
        <w:t>的证明材料索引一栏对应）。</w:t>
      </w:r>
    </w:p>
    <w:p>
      <w:pPr>
        <w:numPr>
          <w:ilvl w:val="0"/>
          <w:numId w:val="1"/>
        </w:numPr>
        <w:spacing w:line="52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第三方机构资质符合性证明材料</w:t>
      </w:r>
    </w:p>
    <w:p>
      <w:pPr>
        <w:spacing w:line="520" w:lineRule="exact"/>
        <w:rPr>
          <w:rFonts w:hint="default"/>
        </w:rPr>
      </w:pPr>
      <w:r>
        <w:rPr>
          <w:rFonts w:hint="default"/>
        </w:rPr>
        <w:t>列出第三方机构满足条件的资质符合性证明材料。</w:t>
      </w:r>
    </w:p>
    <w:p>
      <w:pPr>
        <w:pStyle w:val="2"/>
        <w:rPr>
          <w:rFonts w:hint="default" w:ascii="Times New Roman" w:hAnsi="Times New Roman" w:cs="Times New Roma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0" w:firstLineChars="0"/>
        <w:rPr>
          <w:rFonts w:hint="eastAsia" w:ascii="黑体" w:hAnsi="黑体" w:eastAsia="黑体" w:cs="黑体"/>
          <w:szCs w:val="32"/>
        </w:rPr>
      </w:pP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1.1</w:t>
      </w:r>
    </w:p>
    <w:p>
      <w:pPr>
        <w:widowControl/>
        <w:spacing w:line="460" w:lineRule="exact"/>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7225"/>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971" w:type="dxa"/>
            <w:gridSpan w:val="2"/>
            <w:noWrap w:val="0"/>
            <w:vAlign w:val="center"/>
          </w:tcPr>
          <w:p>
            <w:pPr>
              <w:pStyle w:val="16"/>
              <w:bidi w:val="0"/>
              <w:spacing w:line="360" w:lineRule="exact"/>
              <w:rPr>
                <w:rFonts w:hint="default" w:cs="Times New Roman"/>
                <w:b/>
                <w:bCs/>
                <w:lang w:eastAsia="zh-CN"/>
              </w:rPr>
            </w:pPr>
            <w:r>
              <w:rPr>
                <w:rFonts w:hint="default" w:cs="Times New Roman"/>
                <w:b/>
                <w:bCs/>
                <w:lang w:eastAsia="zh-CN"/>
              </w:rPr>
              <w:t>基本要求</w:t>
            </w:r>
          </w:p>
        </w:tc>
        <w:tc>
          <w:tcPr>
            <w:tcW w:w="1392" w:type="dxa"/>
            <w:noWrap w:val="0"/>
            <w:vAlign w:val="center"/>
          </w:tcPr>
          <w:p>
            <w:pPr>
              <w:pStyle w:val="16"/>
              <w:bidi w:val="0"/>
              <w:spacing w:line="360" w:lineRule="exact"/>
              <w:rPr>
                <w:rFonts w:hint="default" w:cs="Times New Roman"/>
                <w:b/>
                <w:bCs/>
                <w:lang w:eastAsia="zh-CN"/>
              </w:rPr>
            </w:pPr>
            <w:r>
              <w:rPr>
                <w:rFonts w:hint="default" w:cs="Times New Roman"/>
                <w:b/>
                <w:bCs/>
                <w:lang w:eastAsia="zh-CN"/>
              </w:rPr>
              <w:t>是否符合</w:t>
            </w:r>
          </w:p>
        </w:tc>
        <w:tc>
          <w:tcPr>
            <w:tcW w:w="4281" w:type="dxa"/>
            <w:noWrap w:val="0"/>
            <w:vAlign w:val="center"/>
          </w:tcPr>
          <w:p>
            <w:pPr>
              <w:pStyle w:val="16"/>
              <w:bidi w:val="0"/>
              <w:spacing w:line="360" w:lineRule="exact"/>
              <w:rPr>
                <w:rFonts w:hint="default" w:cs="Times New Roman"/>
                <w:b/>
                <w:bCs/>
              </w:rPr>
            </w:pPr>
            <w:r>
              <w:rPr>
                <w:rFonts w:hint="default" w:cs="Times New Roman"/>
                <w:b/>
                <w:bCs/>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1" w:hRule="atLeast"/>
        </w:trPr>
        <w:tc>
          <w:tcPr>
            <w:tcW w:w="1746" w:type="dxa"/>
            <w:vMerge w:val="restart"/>
            <w:noWrap w:val="0"/>
            <w:vAlign w:val="center"/>
          </w:tcPr>
          <w:p>
            <w:pPr>
              <w:pStyle w:val="16"/>
              <w:bidi w:val="0"/>
              <w:spacing w:line="360" w:lineRule="exact"/>
              <w:rPr>
                <w:rFonts w:hint="default" w:cs="Times New Roman"/>
              </w:rPr>
            </w:pPr>
            <w:r>
              <w:rPr>
                <w:rFonts w:hint="default" w:cs="Times New Roman"/>
                <w:lang w:eastAsia="zh-CN"/>
              </w:rPr>
              <w:t>基础</w:t>
            </w:r>
            <w:r>
              <w:rPr>
                <w:rFonts w:hint="default" w:cs="Times New Roman"/>
              </w:rPr>
              <w:t>合规性与相关方要求</w:t>
            </w:r>
          </w:p>
        </w:tc>
        <w:tc>
          <w:tcPr>
            <w:tcW w:w="7225" w:type="dxa"/>
            <w:noWrap w:val="0"/>
            <w:vAlign w:val="center"/>
          </w:tcPr>
          <w:p>
            <w:pPr>
              <w:pStyle w:val="16"/>
              <w:bidi w:val="0"/>
              <w:spacing w:line="360" w:lineRule="exact"/>
              <w:jc w:val="left"/>
              <w:rPr>
                <w:rFonts w:hint="default" w:cs="Times New Roman"/>
              </w:rPr>
            </w:pPr>
            <w:r>
              <w:rPr>
                <w:rFonts w:hint="default" w:cs="Times New Roman"/>
              </w:rPr>
              <w:t>绿色工厂应依法设立，在建设和生产过程中应遵守有关法律、法规、政策和标准。</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1" w:hRule="atLeast"/>
        </w:trPr>
        <w:tc>
          <w:tcPr>
            <w:tcW w:w="1746" w:type="dxa"/>
            <w:vMerge w:val="continue"/>
            <w:noWrap w:val="0"/>
            <w:vAlign w:val="center"/>
          </w:tcPr>
          <w:p>
            <w:pPr>
              <w:pStyle w:val="16"/>
              <w:bidi w:val="0"/>
              <w:spacing w:line="360" w:lineRule="exact"/>
              <w:rPr>
                <w:rFonts w:hint="default" w:cs="Times New Roman"/>
              </w:rPr>
            </w:pPr>
          </w:p>
        </w:tc>
        <w:tc>
          <w:tcPr>
            <w:tcW w:w="7225" w:type="dxa"/>
            <w:noWrap w:val="0"/>
            <w:vAlign w:val="center"/>
          </w:tcPr>
          <w:p>
            <w:pPr>
              <w:pStyle w:val="16"/>
              <w:bidi w:val="0"/>
              <w:spacing w:line="360" w:lineRule="exact"/>
              <w:jc w:val="left"/>
              <w:rPr>
                <w:rFonts w:hint="default" w:cs="Times New Roman"/>
              </w:rPr>
            </w:pPr>
            <w:r>
              <w:rPr>
                <w:rFonts w:hint="default" w:cs="Times New Roman"/>
              </w:rPr>
              <w:t>近三年（含成立不足三年）无较大及以上安全、环保、质量等事故。</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85" w:hRule="atLeast"/>
        </w:trPr>
        <w:tc>
          <w:tcPr>
            <w:tcW w:w="1746" w:type="dxa"/>
            <w:vMerge w:val="continue"/>
            <w:noWrap w:val="0"/>
            <w:vAlign w:val="center"/>
          </w:tcPr>
          <w:p>
            <w:pPr>
              <w:pStyle w:val="16"/>
              <w:bidi w:val="0"/>
              <w:spacing w:line="360" w:lineRule="exact"/>
              <w:rPr>
                <w:rFonts w:hint="default" w:cs="Times New Roman"/>
              </w:rPr>
            </w:pPr>
          </w:p>
        </w:tc>
        <w:tc>
          <w:tcPr>
            <w:tcW w:w="7225" w:type="dxa"/>
            <w:noWrap w:val="0"/>
            <w:vAlign w:val="center"/>
          </w:tcPr>
          <w:p>
            <w:pPr>
              <w:pStyle w:val="16"/>
              <w:bidi w:val="0"/>
              <w:spacing w:line="360" w:lineRule="exact"/>
              <w:jc w:val="left"/>
              <w:rPr>
                <w:rFonts w:hint="default" w:cs="Times New Roman"/>
              </w:rPr>
            </w:pPr>
            <w:r>
              <w:rPr>
                <w:rFonts w:hint="default" w:cs="Times New Roman"/>
              </w:rPr>
              <w:t>对利益相关方的环境要求做出承诺的，应同时满足有关承诺的要求。</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5" w:hRule="atLeast"/>
        </w:trPr>
        <w:tc>
          <w:tcPr>
            <w:tcW w:w="1746" w:type="dxa"/>
            <w:vMerge w:val="restart"/>
            <w:noWrap w:val="0"/>
            <w:vAlign w:val="center"/>
          </w:tcPr>
          <w:p>
            <w:pPr>
              <w:pStyle w:val="16"/>
              <w:bidi w:val="0"/>
              <w:spacing w:line="360" w:lineRule="exact"/>
              <w:rPr>
                <w:rFonts w:hint="default" w:cs="Times New Roman"/>
                <w:lang w:eastAsia="zh-CN"/>
              </w:rPr>
            </w:pPr>
            <w:r>
              <w:rPr>
                <w:rFonts w:hint="default" w:cs="Times New Roman"/>
                <w:lang w:eastAsia="zh-CN"/>
              </w:rPr>
              <w:t>基础管理职责—最高管理者</w:t>
            </w:r>
          </w:p>
        </w:tc>
        <w:tc>
          <w:tcPr>
            <w:tcW w:w="7225" w:type="dxa"/>
            <w:noWrap w:val="0"/>
            <w:vAlign w:val="center"/>
          </w:tcPr>
          <w:p>
            <w:pPr>
              <w:pStyle w:val="16"/>
              <w:bidi w:val="0"/>
              <w:spacing w:line="360" w:lineRule="exact"/>
              <w:jc w:val="left"/>
              <w:rPr>
                <w:rFonts w:hint="default" w:cs="Times New Roman"/>
              </w:rPr>
            </w:pPr>
            <w:r>
              <w:rPr>
                <w:rFonts w:hint="default" w:cs="Times New Roman"/>
                <w:lang w:val="en-US" w:eastAsia="zh-CN"/>
              </w:rPr>
              <w:t>最高管理者在绿色工厂方面的领导作用和承诺满足GB/T 36132中4.3.1 a)的要求。</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0" w:hRule="atLeast"/>
        </w:trPr>
        <w:tc>
          <w:tcPr>
            <w:tcW w:w="1746" w:type="dxa"/>
            <w:vMerge w:val="continue"/>
            <w:noWrap w:val="0"/>
            <w:vAlign w:val="center"/>
          </w:tcPr>
          <w:p>
            <w:pPr>
              <w:pStyle w:val="16"/>
              <w:bidi w:val="0"/>
              <w:spacing w:line="360" w:lineRule="exact"/>
              <w:rPr>
                <w:rFonts w:hint="default" w:cs="Times New Roman"/>
              </w:rPr>
            </w:pPr>
          </w:p>
        </w:tc>
        <w:tc>
          <w:tcPr>
            <w:tcW w:w="7225" w:type="dxa"/>
            <w:noWrap w:val="0"/>
            <w:vAlign w:val="center"/>
          </w:tcPr>
          <w:p>
            <w:pPr>
              <w:pStyle w:val="16"/>
              <w:bidi w:val="0"/>
              <w:spacing w:line="360" w:lineRule="exact"/>
              <w:jc w:val="left"/>
              <w:rPr>
                <w:rFonts w:hint="default" w:cs="Times New Roman"/>
              </w:rPr>
            </w:pPr>
            <w:r>
              <w:rPr>
                <w:rFonts w:hint="default" w:cs="Times New Roman"/>
                <w:lang w:eastAsia="zh-CN"/>
              </w:rPr>
              <w:t>最高管理者</w:t>
            </w:r>
            <w:r>
              <w:rPr>
                <w:rFonts w:hint="default" w:cs="Times New Roman"/>
              </w:rPr>
              <w:t>确保在工厂内部分配并沟通与绿色工厂相关角色的职责和权限</w:t>
            </w:r>
            <w:r>
              <w:rPr>
                <w:rFonts w:hint="default" w:cs="Times New Roman"/>
                <w:lang w:eastAsia="zh-CN"/>
              </w:rPr>
              <w:t>，且满</w:t>
            </w:r>
            <w:r>
              <w:rPr>
                <w:rFonts w:hint="default" w:cs="Times New Roman"/>
                <w:lang w:val="en-US" w:eastAsia="zh-CN"/>
              </w:rPr>
              <w:t>足GB/T 36132中4.3.1 b)的要求。</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pStyle w:val="16"/>
              <w:bidi w:val="0"/>
              <w:spacing w:line="360" w:lineRule="exact"/>
              <w:rPr>
                <w:rFonts w:hint="default" w:cs="Times New Roman"/>
              </w:rPr>
            </w:pPr>
            <w:r>
              <w:rPr>
                <w:rFonts w:hint="default" w:cs="Times New Roman"/>
                <w:lang w:eastAsia="zh-CN"/>
              </w:rPr>
              <w:t>基础管理职责—工厂</w:t>
            </w:r>
          </w:p>
        </w:tc>
        <w:tc>
          <w:tcPr>
            <w:tcW w:w="7225" w:type="dxa"/>
            <w:noWrap w:val="0"/>
            <w:vAlign w:val="center"/>
          </w:tcPr>
          <w:p>
            <w:pPr>
              <w:pStyle w:val="16"/>
              <w:bidi w:val="0"/>
              <w:spacing w:line="360" w:lineRule="exact"/>
              <w:jc w:val="left"/>
              <w:rPr>
                <w:rFonts w:hint="default" w:cs="Times New Roman"/>
              </w:rPr>
            </w:pPr>
            <w:r>
              <w:rPr>
                <w:rFonts w:hint="default" w:cs="Times New Roman"/>
              </w:rPr>
              <w:t>应设有绿色工厂管理机构，负责有关绿色工厂的制度建设、实施、考核及奖励工作，建立目标责任制。</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pStyle w:val="16"/>
              <w:bidi w:val="0"/>
              <w:spacing w:line="360" w:lineRule="exact"/>
              <w:rPr>
                <w:rFonts w:hint="default" w:cs="Times New Roman"/>
              </w:rPr>
            </w:pPr>
          </w:p>
        </w:tc>
        <w:tc>
          <w:tcPr>
            <w:tcW w:w="7225" w:type="dxa"/>
            <w:noWrap w:val="0"/>
            <w:vAlign w:val="center"/>
          </w:tcPr>
          <w:p>
            <w:pPr>
              <w:pStyle w:val="16"/>
              <w:bidi w:val="0"/>
              <w:spacing w:line="360" w:lineRule="exact"/>
              <w:jc w:val="left"/>
              <w:rPr>
                <w:rFonts w:hint="default" w:cs="Times New Roman"/>
              </w:rPr>
            </w:pPr>
            <w:r>
              <w:rPr>
                <w:rFonts w:hint="default" w:cs="Times New Roman"/>
              </w:rPr>
              <w:t>应有开展绿色</w:t>
            </w:r>
            <w:r>
              <w:rPr>
                <w:rFonts w:hint="default" w:cs="Times New Roman"/>
                <w:lang w:eastAsia="zh-CN"/>
              </w:rPr>
              <w:t>工厂</w:t>
            </w:r>
            <w:r>
              <w:rPr>
                <w:rFonts w:hint="default" w:cs="Times New Roman"/>
              </w:rPr>
              <w:t>的中长期规划及年度目标、指标和实施方案。可行时，指标应明确且可量化。</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pStyle w:val="16"/>
              <w:bidi w:val="0"/>
              <w:spacing w:line="360" w:lineRule="exact"/>
              <w:rPr>
                <w:rFonts w:hint="default" w:cs="Times New Roman"/>
              </w:rPr>
            </w:pPr>
          </w:p>
        </w:tc>
        <w:tc>
          <w:tcPr>
            <w:tcW w:w="7225" w:type="dxa"/>
            <w:noWrap w:val="0"/>
            <w:vAlign w:val="center"/>
          </w:tcPr>
          <w:p>
            <w:pPr>
              <w:pStyle w:val="16"/>
              <w:bidi w:val="0"/>
              <w:spacing w:line="360" w:lineRule="exact"/>
              <w:jc w:val="left"/>
              <w:rPr>
                <w:rFonts w:hint="default" w:cs="Times New Roman"/>
              </w:rPr>
            </w:pPr>
            <w:r>
              <w:rPr>
                <w:rFonts w:hint="default" w:cs="Times New Roman"/>
              </w:rPr>
              <w:t>应传播绿色制造的概念和知识，定期为员工提供绿色制造相关知识的教育、培训，并对教育和培训的结果进行考评</w:t>
            </w:r>
            <w:r>
              <w:rPr>
                <w:rFonts w:hint="default" w:cs="Times New Roman"/>
                <w:lang w:eastAsia="zh-CN"/>
              </w:rPr>
              <w:t>。</w:t>
            </w:r>
          </w:p>
        </w:tc>
        <w:tc>
          <w:tcPr>
            <w:tcW w:w="1392" w:type="dxa"/>
            <w:noWrap w:val="0"/>
            <w:vAlign w:val="center"/>
          </w:tcPr>
          <w:p>
            <w:pPr>
              <w:pStyle w:val="16"/>
              <w:bidi w:val="0"/>
              <w:spacing w:line="360" w:lineRule="exact"/>
              <w:rPr>
                <w:rFonts w:hint="default" w:cs="Times New Roman"/>
              </w:rPr>
            </w:pPr>
          </w:p>
        </w:tc>
        <w:tc>
          <w:tcPr>
            <w:tcW w:w="4281" w:type="dxa"/>
            <w:noWrap w:val="0"/>
            <w:vAlign w:val="center"/>
          </w:tcPr>
          <w:p>
            <w:pPr>
              <w:pStyle w:val="16"/>
              <w:bidi w:val="0"/>
              <w:spacing w:line="360" w:lineRule="exact"/>
              <w:rPr>
                <w:rFonts w:hint="default" w:cs="Times New Roman"/>
              </w:rPr>
            </w:pPr>
            <w:r>
              <w:rPr>
                <w:rFonts w:hint="default" w:cs="Times New Roman"/>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1.2</w:t>
      </w:r>
    </w:p>
    <w:p>
      <w:pPr>
        <w:widowControl/>
        <w:spacing w:line="460" w:lineRule="exact"/>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9"/>
        <w:tblW w:w="14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5829"/>
        <w:gridCol w:w="2407"/>
        <w:gridCol w:w="1275"/>
        <w:gridCol w:w="693"/>
        <w:gridCol w:w="158"/>
        <w:gridCol w:w="612"/>
        <w:gridCol w:w="9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pStyle w:val="16"/>
              <w:bidi w:val="0"/>
              <w:spacing w:line="380" w:lineRule="exact"/>
              <w:rPr>
                <w:rFonts w:hint="default" w:cs="Times New Roman"/>
                <w:b/>
                <w:bCs/>
              </w:rPr>
            </w:pPr>
            <w:r>
              <w:rPr>
                <w:rFonts w:hint="default" w:cs="Times New Roman"/>
                <w:b/>
                <w:bCs/>
              </w:rPr>
              <w:t>序号</w:t>
            </w:r>
          </w:p>
        </w:tc>
        <w:tc>
          <w:tcPr>
            <w:tcW w:w="1135" w:type="dxa"/>
            <w:noWrap w:val="0"/>
            <w:vAlign w:val="center"/>
          </w:tcPr>
          <w:p>
            <w:pPr>
              <w:pStyle w:val="16"/>
              <w:bidi w:val="0"/>
              <w:spacing w:line="380" w:lineRule="exact"/>
              <w:rPr>
                <w:rFonts w:hint="default" w:cs="Times New Roman"/>
                <w:b/>
                <w:bCs/>
              </w:rPr>
            </w:pPr>
            <w:r>
              <w:rPr>
                <w:rFonts w:hint="default" w:cs="Times New Roman"/>
                <w:b/>
                <w:bCs/>
              </w:rPr>
              <w:t>一级指标</w:t>
            </w:r>
          </w:p>
        </w:tc>
        <w:tc>
          <w:tcPr>
            <w:tcW w:w="1135" w:type="dxa"/>
            <w:noWrap w:val="0"/>
            <w:vAlign w:val="center"/>
          </w:tcPr>
          <w:p>
            <w:pPr>
              <w:pStyle w:val="16"/>
              <w:bidi w:val="0"/>
              <w:spacing w:line="380" w:lineRule="exact"/>
              <w:rPr>
                <w:rFonts w:hint="default" w:cs="Times New Roman"/>
                <w:b/>
                <w:bCs/>
              </w:rPr>
            </w:pPr>
            <w:r>
              <w:rPr>
                <w:rFonts w:hint="default" w:cs="Times New Roman"/>
                <w:b/>
                <w:bCs/>
              </w:rPr>
              <w:t>二级指标</w:t>
            </w:r>
          </w:p>
        </w:tc>
        <w:tc>
          <w:tcPr>
            <w:tcW w:w="5829" w:type="dxa"/>
            <w:noWrap w:val="0"/>
            <w:vAlign w:val="center"/>
          </w:tcPr>
          <w:p>
            <w:pPr>
              <w:pStyle w:val="16"/>
              <w:bidi w:val="0"/>
              <w:spacing w:line="380" w:lineRule="exact"/>
              <w:rPr>
                <w:rFonts w:hint="default" w:cs="Times New Roman"/>
                <w:b/>
                <w:bCs/>
              </w:rPr>
            </w:pPr>
            <w:r>
              <w:rPr>
                <w:rFonts w:hint="default" w:cs="Times New Roman"/>
                <w:b/>
                <w:bCs/>
                <w:lang w:eastAsia="zh-CN"/>
              </w:rPr>
              <w:t>具体评价</w:t>
            </w:r>
            <w:r>
              <w:rPr>
                <w:rFonts w:hint="default" w:cs="Times New Roman"/>
                <w:b/>
                <w:bCs/>
              </w:rPr>
              <w:t>要求</w:t>
            </w:r>
          </w:p>
        </w:tc>
        <w:tc>
          <w:tcPr>
            <w:tcW w:w="2407" w:type="dxa"/>
            <w:noWrap w:val="0"/>
            <w:vAlign w:val="center"/>
          </w:tcPr>
          <w:p>
            <w:pPr>
              <w:pStyle w:val="16"/>
              <w:bidi w:val="0"/>
              <w:spacing w:line="380" w:lineRule="exact"/>
              <w:rPr>
                <w:rFonts w:hint="default" w:cs="Times New Roman"/>
                <w:b/>
                <w:bCs/>
              </w:rPr>
            </w:pPr>
            <w:r>
              <w:rPr>
                <w:rFonts w:hint="default" w:cs="Times New Roman"/>
                <w:b/>
                <w:bCs/>
              </w:rPr>
              <w:t>符合性说明及证明材料索引</w:t>
            </w:r>
          </w:p>
        </w:tc>
        <w:tc>
          <w:tcPr>
            <w:tcW w:w="1275" w:type="dxa"/>
            <w:noWrap w:val="0"/>
            <w:vAlign w:val="center"/>
          </w:tcPr>
          <w:p>
            <w:pPr>
              <w:pStyle w:val="16"/>
              <w:bidi w:val="0"/>
              <w:spacing w:line="380" w:lineRule="exact"/>
              <w:rPr>
                <w:rFonts w:hint="default" w:cs="Times New Roman"/>
                <w:b/>
                <w:bCs/>
              </w:rPr>
            </w:pPr>
            <w:r>
              <w:rPr>
                <w:rFonts w:hint="default" w:cs="Times New Roman"/>
                <w:b/>
                <w:bCs/>
              </w:rPr>
              <w:t>要求类型</w:t>
            </w:r>
          </w:p>
        </w:tc>
        <w:tc>
          <w:tcPr>
            <w:tcW w:w="851" w:type="dxa"/>
            <w:gridSpan w:val="2"/>
            <w:noWrap w:val="0"/>
            <w:vAlign w:val="center"/>
          </w:tcPr>
          <w:p>
            <w:pPr>
              <w:pStyle w:val="16"/>
              <w:bidi w:val="0"/>
              <w:spacing w:line="380" w:lineRule="exact"/>
              <w:rPr>
                <w:rFonts w:hint="default" w:cs="Times New Roman"/>
                <w:b/>
                <w:bCs/>
              </w:rPr>
            </w:pPr>
            <w:r>
              <w:rPr>
                <w:rFonts w:hint="default" w:cs="Times New Roman"/>
                <w:b/>
                <w:bCs/>
              </w:rPr>
              <w:t>分值</w:t>
            </w:r>
          </w:p>
        </w:tc>
        <w:tc>
          <w:tcPr>
            <w:tcW w:w="711" w:type="dxa"/>
            <w:gridSpan w:val="2"/>
            <w:noWrap w:val="0"/>
            <w:vAlign w:val="center"/>
          </w:tcPr>
          <w:p>
            <w:pPr>
              <w:pStyle w:val="16"/>
              <w:bidi w:val="0"/>
              <w:spacing w:line="380" w:lineRule="exact"/>
              <w:rPr>
                <w:rFonts w:hint="default" w:cs="Times New Roman"/>
                <w:b/>
                <w:bCs/>
              </w:rPr>
            </w:pPr>
            <w:r>
              <w:rPr>
                <w:rFonts w:hint="default" w:cs="Times New Roman"/>
                <w:b/>
                <w:bCs/>
              </w:rPr>
              <w:t>权重</w:t>
            </w:r>
          </w:p>
        </w:tc>
        <w:tc>
          <w:tcPr>
            <w:tcW w:w="770" w:type="dxa"/>
            <w:noWrap w:val="0"/>
            <w:vAlign w:val="center"/>
          </w:tcPr>
          <w:p>
            <w:pPr>
              <w:pStyle w:val="16"/>
              <w:bidi w:val="0"/>
              <w:spacing w:line="380" w:lineRule="exact"/>
              <w:rPr>
                <w:rFonts w:hint="default" w:cs="Times New Roman"/>
                <w:b/>
                <w:bCs/>
              </w:rPr>
            </w:pPr>
            <w:r>
              <w:rPr>
                <w:rFonts w:hint="default" w:cs="Times New Roman"/>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1</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基础设施</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建筑</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工厂的建筑应满足国家或地方相关法律法规及标准的要求。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8</w:t>
            </w:r>
          </w:p>
        </w:tc>
        <w:tc>
          <w:tcPr>
            <w:tcW w:w="711" w:type="dxa"/>
            <w:gridSpan w:val="2"/>
            <w:vMerge w:val="restart"/>
            <w:noWrap w:val="0"/>
            <w:vAlign w:val="center"/>
          </w:tcPr>
          <w:p>
            <w:pPr>
              <w:pStyle w:val="16"/>
              <w:bidi w:val="0"/>
              <w:spacing w:line="380" w:lineRule="exact"/>
              <w:rPr>
                <w:rFonts w:hint="default" w:cs="Times New Roman"/>
              </w:rPr>
            </w:pPr>
            <w:r>
              <w:rPr>
                <w:rFonts w:hint="default" w:cs="Times New Roman"/>
              </w:rPr>
              <w:t>20%</w:t>
            </w: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新建、改建和扩建建筑时，应遵守国家“固定资产投资项目节能评估审查制度”、“三同时制度”、“工业项目建设用地控制指标”等产业政策和有关要求。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厂房内部装饰装修材料中醛、苯、氨、氡等有害物质</w:t>
            </w:r>
            <w:r>
              <w:rPr>
                <w:rFonts w:hint="default" w:cs="Times New Roman"/>
                <w:lang w:eastAsia="zh-CN"/>
              </w:rPr>
              <w:t>应</w:t>
            </w:r>
            <w:r>
              <w:rPr>
                <w:rFonts w:hint="default" w:cs="Times New Roman"/>
              </w:rPr>
              <w:t>符合国家和地方法律、标准要求。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危险品仓库、有毒有害操作间、废弃物处理间等产生污染物的房间应独立设置。</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建筑结构：采用钢结构、砌体结构和木结构等资源消耗和环境影响小的建筑结构体系。</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再生资源及能源利用：（1）可再生能源的使用占建筑总能耗的比例大于10%；（2）采用节水器具和设备，节水率不低于10%。</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适用时，工厂的厂房采用多层建筑。</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照明</w:t>
            </w: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人工照明</w:t>
            </w:r>
            <w:r>
              <w:rPr>
                <w:rFonts w:hint="default" w:cs="Times New Roman"/>
              </w:rPr>
              <w:t>应符合GB 50034规定。</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7</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不同场所的照明应进行分级设计。</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工厂厂区及各房间或场所的照明尽量利用自然光。</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工艺适用时，节能灯等节能型照明设备的使用占比不低于50%。</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公共场所的照明采取分区、分组与定时自动调光等措施。</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设备</w:t>
            </w:r>
          </w:p>
          <w:p>
            <w:pPr>
              <w:pStyle w:val="16"/>
              <w:bidi w:val="0"/>
              <w:spacing w:line="380" w:lineRule="exact"/>
              <w:rPr>
                <w:rFonts w:hint="default" w:cs="Times New Roman"/>
              </w:rPr>
            </w:pPr>
            <w:r>
              <w:rPr>
                <w:rFonts w:hint="default" w:cs="Times New Roman"/>
                <w:lang w:eastAsia="zh-CN"/>
              </w:rPr>
              <w:t>设施</w:t>
            </w: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工厂使用的</w:t>
            </w:r>
            <w:r>
              <w:rPr>
                <w:rFonts w:hint="default" w:cs="Times New Roman"/>
              </w:rPr>
              <w:t>专用设备应符合产业准入要求，降低能源与资源消耗，减少污染物排放</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适用时，</w:t>
            </w:r>
            <w:r>
              <w:rPr>
                <w:rFonts w:hint="default" w:cs="Times New Roman"/>
              </w:rPr>
              <w:t>工厂使用的</w:t>
            </w:r>
            <w:r>
              <w:rPr>
                <w:rFonts w:hint="default" w:cs="Times New Roman"/>
                <w:lang w:eastAsia="zh-CN"/>
              </w:rPr>
              <w:t>通用</w:t>
            </w:r>
            <w:r>
              <w:rPr>
                <w:rFonts w:hint="default" w:cs="Times New Roman"/>
              </w:rPr>
              <w:t>设备应达到相关标准中能效限定值的强制性要求。已明令禁止生产、使用的和能耗高、效率低的设备应限期淘汰更新</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工厂使用的</w:t>
            </w:r>
            <w:r>
              <w:rPr>
                <w:rFonts w:hint="default" w:cs="Times New Roman"/>
              </w:rPr>
              <w:t>通用设备或其系统的实际运行效率或主要运行参数应符合该设备经济运行的要求。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工厂应依据GB 17167、GB24789等要求配备、使用和管理能源、水以及其他资源的计量器具和装置。</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222"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lang w:eastAsia="zh-C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工厂使用的通用用能设备采用了节能型产品或效率高、能耗低、水耗低、物耗低的产品。</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8</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86"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2</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管理体系</w:t>
            </w:r>
          </w:p>
        </w:tc>
        <w:tc>
          <w:tcPr>
            <w:tcW w:w="113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一般</w:t>
            </w:r>
          </w:p>
          <w:p>
            <w:pPr>
              <w:pStyle w:val="16"/>
              <w:bidi w:val="0"/>
              <w:spacing w:line="380" w:lineRule="exact"/>
              <w:rPr>
                <w:rFonts w:hint="default" w:cs="Times New Roman"/>
              </w:rPr>
            </w:pPr>
            <w:r>
              <w:rPr>
                <w:rFonts w:hint="default" w:cs="Times New Roman"/>
                <w:lang w:eastAsia="zh-CN"/>
              </w:rPr>
              <w:t>要求</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工厂建立、实施并保持满足GB/T 19001的要求的质量管理体系。</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restart"/>
            <w:noWrap w:val="0"/>
            <w:vAlign w:val="center"/>
          </w:tcPr>
          <w:p>
            <w:pPr>
              <w:pStyle w:val="16"/>
              <w:bidi w:val="0"/>
              <w:spacing w:line="380" w:lineRule="exact"/>
              <w:rPr>
                <w:rFonts w:hint="default" w:cs="Times New Roman"/>
              </w:rPr>
            </w:pPr>
            <w:r>
              <w:rPr>
                <w:rFonts w:hint="default" w:cs="Times New Roman"/>
              </w:rPr>
              <w:t>15%</w:t>
            </w: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通过质量管理体系第三方认证。</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8</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86"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工厂建立、实施并保持满足GB/T 28001要求的职业健康安全管理体系。</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通过职业健康安全管理体系第三方认证。</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8</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环境管理体系</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工厂建立、实施并保持满足GB/T 24001要求的环境管理体系。</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20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通过环境管理体系第三方认证。</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22"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能源管理体系</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工厂建立、实施并保持满足GB/T 23331要求的能源管理体系。</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20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通过能源管理体系第三方认证。</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41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noWrap w:val="0"/>
            <w:vAlign w:val="center"/>
          </w:tcPr>
          <w:p>
            <w:pPr>
              <w:pStyle w:val="16"/>
              <w:bidi w:val="0"/>
              <w:spacing w:line="380" w:lineRule="exact"/>
              <w:rPr>
                <w:rFonts w:hint="default" w:cs="Times New Roman"/>
              </w:rPr>
            </w:pPr>
            <w:r>
              <w:rPr>
                <w:rFonts w:hint="default" w:cs="Times New Roman"/>
              </w:rPr>
              <w:t>社会</w:t>
            </w:r>
          </w:p>
          <w:p>
            <w:pPr>
              <w:pStyle w:val="16"/>
              <w:bidi w:val="0"/>
              <w:spacing w:line="380" w:lineRule="exact"/>
              <w:rPr>
                <w:rFonts w:hint="default" w:cs="Times New Roman"/>
              </w:rPr>
            </w:pPr>
            <w:r>
              <w:rPr>
                <w:rFonts w:hint="default" w:cs="Times New Roman"/>
              </w:rPr>
              <w:t>责任</w:t>
            </w:r>
          </w:p>
        </w:tc>
        <w:tc>
          <w:tcPr>
            <w:tcW w:w="5829" w:type="dxa"/>
            <w:noWrap w:val="0"/>
            <w:vAlign w:val="center"/>
          </w:tcPr>
          <w:p>
            <w:pPr>
              <w:pStyle w:val="16"/>
              <w:bidi w:val="0"/>
              <w:spacing w:line="380" w:lineRule="exact"/>
              <w:jc w:val="left"/>
              <w:rPr>
                <w:rFonts w:hint="default" w:cs="Times New Roman"/>
              </w:rPr>
            </w:pPr>
            <w:r>
              <w:rPr>
                <w:rFonts w:hint="default" w:cs="Times New Roman"/>
              </w:rPr>
              <w:t>每年发布社会责任报告，说明履行利益相关方责任的情况，特别是环境社会责任的履行情况，报告公开可获得。</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3</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能源资源投入</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能源</w:t>
            </w:r>
          </w:p>
          <w:p>
            <w:pPr>
              <w:pStyle w:val="16"/>
              <w:bidi w:val="0"/>
              <w:spacing w:line="380" w:lineRule="exact"/>
              <w:rPr>
                <w:rFonts w:hint="default" w:cs="Times New Roman"/>
              </w:rPr>
            </w:pPr>
            <w:r>
              <w:rPr>
                <w:rFonts w:hint="default" w:cs="Times New Roman"/>
              </w:rPr>
              <w:t>投入</w:t>
            </w:r>
          </w:p>
        </w:tc>
        <w:tc>
          <w:tcPr>
            <w:tcW w:w="5829" w:type="dxa"/>
            <w:noWrap w:val="0"/>
            <w:vAlign w:val="center"/>
          </w:tcPr>
          <w:p>
            <w:pPr>
              <w:pStyle w:val="16"/>
              <w:bidi w:val="0"/>
              <w:spacing w:line="380" w:lineRule="exact"/>
              <w:jc w:val="left"/>
              <w:rPr>
                <w:rFonts w:hint="default" w:cs="Times New Roman"/>
              </w:rPr>
            </w:pPr>
            <w:r>
              <w:rPr>
                <w:rFonts w:hint="default" w:cs="Times New Roman"/>
                <w:lang w:val="en-US" w:eastAsia="zh-CN"/>
              </w:rPr>
              <w:t>工厂应优化用能结构，在保证安全、质量的前提下减少不可再生能源投入。</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restart"/>
            <w:noWrap w:val="0"/>
            <w:vAlign w:val="center"/>
          </w:tcPr>
          <w:p>
            <w:pPr>
              <w:pStyle w:val="16"/>
              <w:bidi w:val="0"/>
              <w:spacing w:line="380" w:lineRule="exact"/>
              <w:rPr>
                <w:rFonts w:hint="default" w:cs="Times New Roman"/>
              </w:rPr>
            </w:pPr>
            <w:r>
              <w:rPr>
                <w:rFonts w:hint="default" w:cs="Times New Roman"/>
              </w:rPr>
              <w:t>15%</w:t>
            </w: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3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建有能源管理中心。</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8</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建有厂区光伏电站、智能微电网。</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使用了低碳清洁的新能源。</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使用可再生能源代替不可再生能源。</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充分利用余热余压。</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资源</w:t>
            </w:r>
          </w:p>
          <w:p>
            <w:pPr>
              <w:pStyle w:val="16"/>
              <w:bidi w:val="0"/>
              <w:spacing w:line="380" w:lineRule="exact"/>
              <w:rPr>
                <w:rFonts w:hint="default" w:cs="Times New Roman"/>
              </w:rPr>
            </w:pPr>
            <w:r>
              <w:rPr>
                <w:rFonts w:hint="default" w:cs="Times New Roman"/>
              </w:rPr>
              <w:t>投入</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工厂应按照GB/T 7119的要求对其开展节水评价工作，且满足GB/T 18916（所有部分）中对应本行业的取水定额要求。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工厂应减少材料、尤其是有害物质的使用</w:t>
            </w:r>
            <w:r>
              <w:rPr>
                <w:rFonts w:hint="default" w:cs="Times New Roman"/>
                <w:lang w:eastAsia="zh-CN"/>
              </w:rPr>
              <w:t>，</w:t>
            </w:r>
            <w:r>
              <w:rPr>
                <w:rFonts w:hint="default" w:cs="Times New Roman"/>
              </w:rPr>
              <w:t>评估有害物质及化学品减量使用或替代的可行性</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工厂应按照GB/T 29115的要求对其原材料使用量的减少进行评价。</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使用回收料、可回收材料替代原生材料、不可回收材料。</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替代或减少全球增温潜势较高温室气体的使用。</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50"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采购</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工厂应制定并实施包括环保要求的选择、评价和重新评价供方的准则</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50"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工厂应确定并实施检验或其他必要的活动，以确保采购的产品满足规定的采购要求。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2"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工厂向供方提供的采购信息包含有害物质使用、可回收材料使用、能效等环保要求。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满足绿色供应链评价要求。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4</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产品</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生态</w:t>
            </w:r>
          </w:p>
          <w:p>
            <w:pPr>
              <w:pStyle w:val="16"/>
              <w:bidi w:val="0"/>
              <w:spacing w:line="380" w:lineRule="exact"/>
              <w:rPr>
                <w:rFonts w:hint="default" w:cs="Times New Roman"/>
              </w:rPr>
            </w:pPr>
            <w:r>
              <w:rPr>
                <w:rFonts w:hint="default" w:cs="Times New Roman"/>
              </w:rPr>
              <w:t>设计</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工厂在产品设计中引入生态设计的理念。</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30</w:t>
            </w:r>
          </w:p>
        </w:tc>
        <w:tc>
          <w:tcPr>
            <w:tcW w:w="711" w:type="dxa"/>
            <w:gridSpan w:val="2"/>
            <w:vMerge w:val="restart"/>
            <w:noWrap w:val="0"/>
            <w:vAlign w:val="center"/>
          </w:tcPr>
          <w:p>
            <w:pPr>
              <w:pStyle w:val="16"/>
              <w:bidi w:val="0"/>
              <w:spacing w:line="380" w:lineRule="exact"/>
              <w:rPr>
                <w:rFonts w:hint="default" w:cs="Times New Roman"/>
              </w:rPr>
            </w:pPr>
            <w:r>
              <w:rPr>
                <w:rFonts w:hint="default" w:cs="Times New Roman"/>
              </w:rPr>
              <w:t>10%</w:t>
            </w: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24256对生产的产品进行生态设计</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32161对生产的产品进行生态设计产品评价，满足绿色产品（生态设计产品）评价要求。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62"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有害物质使用</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工厂生产的产品</w:t>
            </w:r>
            <w:r>
              <w:rPr>
                <w:rFonts w:hint="default" w:cs="Times New Roman"/>
                <w:lang w:eastAsia="zh-CN"/>
              </w:rPr>
              <w:t>（包括原料和辅料）</w:t>
            </w:r>
            <w:r>
              <w:rPr>
                <w:rFonts w:hint="default" w:cs="Times New Roman"/>
              </w:rPr>
              <w:t>应减少有害物质的使用，避免有害物质的泄露，满足国家对产品中有害物质限制使用的要求。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实现有害物质替代</w:t>
            </w:r>
            <w:r>
              <w:rPr>
                <w:rFonts w:hint="default" w:cs="Times New Roman"/>
                <w:lang w:eastAsia="zh-C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912"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节能</w:t>
            </w:r>
          </w:p>
        </w:tc>
        <w:tc>
          <w:tcPr>
            <w:tcW w:w="5829" w:type="dxa"/>
            <w:noWrap w:val="0"/>
            <w:vAlign w:val="center"/>
          </w:tcPr>
          <w:p>
            <w:pPr>
              <w:pStyle w:val="16"/>
              <w:bidi w:val="0"/>
              <w:spacing w:line="380" w:lineRule="exact"/>
              <w:jc w:val="left"/>
              <w:rPr>
                <w:rFonts w:hint="default" w:cs="Times New Roman"/>
              </w:rPr>
            </w:pPr>
            <w:r>
              <w:rPr>
                <w:rFonts w:hint="default" w:cs="Times New Roman"/>
              </w:rPr>
              <w:t>工厂生产的产品若为用能产品或在使用过程中对最终产品/构造的能耗有影响的产品，适用时，应满足相关标准的限定值要求</w:t>
            </w:r>
            <w:r>
              <w:rPr>
                <w:rFonts w:hint="default" w:cs="Times New Roman"/>
                <w:lang w:eastAsia="zh-CN"/>
              </w:rPr>
              <w:t>。</w:t>
            </w:r>
            <w:r>
              <w:rPr>
                <w:rFonts w:hint="default" w:cs="Times New Roman"/>
              </w:rPr>
              <w:t>未制定标准的，产品能效应不低于行业平均值。</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r>
              <w:rPr>
                <w:rFonts w:hint="default" w:cs="Times New Roman"/>
              </w:rPr>
              <w:t>（适用时）</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15</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9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达到</w:t>
            </w:r>
            <w:r>
              <w:rPr>
                <w:rFonts w:hint="default" w:cs="Times New Roman"/>
                <w:lang w:eastAsia="zh-CN"/>
              </w:rPr>
              <w:t>相关</w:t>
            </w:r>
            <w:r>
              <w:rPr>
                <w:rFonts w:hint="default" w:cs="Times New Roman"/>
              </w:rPr>
              <w:t>标准中的</w:t>
            </w:r>
            <w:r>
              <w:rPr>
                <w:rFonts w:hint="default" w:cs="Times New Roman"/>
                <w:lang w:eastAsia="zh-CN"/>
              </w:rPr>
              <w:t>节能评价值</w:t>
            </w:r>
            <w:r>
              <w:rPr>
                <w:rFonts w:hint="default" w:cs="Times New Roman"/>
                <w:lang w:val="en-US" w:eastAsia="zh-CN"/>
              </w:rPr>
              <w:t>/</w:t>
            </w:r>
            <w:r>
              <w:rPr>
                <w:rFonts w:hint="default" w:cs="Times New Roman"/>
                <w:lang w:eastAsia="zh-CN"/>
              </w:rPr>
              <w:t>先进</w:t>
            </w:r>
            <w:r>
              <w:rPr>
                <w:rFonts w:hint="default" w:cs="Times New Roman"/>
              </w:rPr>
              <w:t>值要求，未制定标准的，产品能效达到行业前20%的水平</w:t>
            </w:r>
            <w:r>
              <w:rPr>
                <w:rFonts w:hint="default" w:cs="Times New Roman"/>
                <w:lang w:eastAsia="zh-CN"/>
              </w:rPr>
              <w:t>，前</w:t>
            </w:r>
            <w:r>
              <w:rPr>
                <w:rFonts w:hint="default" w:cs="Times New Roman"/>
                <w:lang w:val="en-US" w:eastAsia="zh-CN"/>
              </w:rPr>
              <w:t>5%为满分</w:t>
            </w:r>
            <w:r>
              <w:rPr>
                <w:rFonts w:hint="default" w:cs="Times New Roman"/>
              </w:rPr>
              <w:t>。</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r>
              <w:rPr>
                <w:rFonts w:hint="default" w:cs="Times New Roman"/>
              </w:rPr>
              <w:t>（适用时）</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8"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lang w:eastAsia="zh-CN"/>
              </w:rPr>
              <w:t>减碳</w:t>
            </w:r>
          </w:p>
        </w:tc>
        <w:tc>
          <w:tcPr>
            <w:tcW w:w="5829" w:type="dxa"/>
            <w:noWrap w:val="0"/>
            <w:vAlign w:val="center"/>
          </w:tcPr>
          <w:p>
            <w:pPr>
              <w:pStyle w:val="16"/>
              <w:bidi w:val="0"/>
              <w:spacing w:line="380" w:lineRule="exact"/>
              <w:jc w:val="left"/>
              <w:rPr>
                <w:rFonts w:hint="default" w:cs="Times New Roman"/>
              </w:rPr>
            </w:pPr>
            <w:r>
              <w:rPr>
                <w:rFonts w:hint="default" w:cs="Times New Roman"/>
              </w:rPr>
              <w:t>采用适用的标准或规范对产品进行碳足迹核算或核查。</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38"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利用核算或核查结果对其产品的碳足迹进行改善。</w:t>
            </w:r>
            <w:r>
              <w:rPr>
                <w:rFonts w:hint="default" w:cs="Times New Roman"/>
                <w:lang w:eastAsia="zh-CN"/>
              </w:rPr>
              <w:t>核算</w:t>
            </w:r>
            <w:r>
              <w:rPr>
                <w:rFonts w:hint="default" w:cs="Times New Roman"/>
              </w:rPr>
              <w:t>或核查结果对外公布。</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lang w:eastAsia="zh-CN"/>
              </w:rPr>
              <w:t>适用时，产品满足相关低碳产品要求。</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38"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可回收利用率</w:t>
            </w: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20862的要求计算其产品的可回收利用率。</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restart"/>
            <w:noWrap w:val="0"/>
            <w:vAlign w:val="center"/>
          </w:tcPr>
          <w:p>
            <w:pPr>
              <w:pStyle w:val="16"/>
              <w:bidi w:val="0"/>
              <w:spacing w:line="380" w:lineRule="exact"/>
              <w:rPr>
                <w:rFonts w:hint="default" w:cs="Times New Roman"/>
              </w:rPr>
            </w:pPr>
            <w:r>
              <w:rPr>
                <w:rFonts w:hint="default" w:cs="Times New Roma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4"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利用计算结果对产品的可回收利用率进行改善。</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vMerge w:val="continue"/>
            <w:noWrap w:val="0"/>
            <w:vAlign w:val="center"/>
          </w:tcPr>
          <w:p>
            <w:pPr>
              <w:pStyle w:val="16"/>
              <w:bidi w:val="0"/>
              <w:spacing w:line="380" w:lineRule="exact"/>
              <w:rPr>
                <w:rFonts w:hint="default" w:cs="Times New Roman"/>
              </w:rPr>
            </w:pP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26"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5</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环境排放</w:t>
            </w:r>
          </w:p>
        </w:tc>
        <w:tc>
          <w:tcPr>
            <w:tcW w:w="1135" w:type="dxa"/>
            <w:vMerge w:val="restart"/>
            <w:noWrap w:val="0"/>
            <w:vAlign w:val="center"/>
          </w:tcPr>
          <w:p>
            <w:pPr>
              <w:pStyle w:val="16"/>
              <w:bidi w:val="0"/>
              <w:spacing w:line="350" w:lineRule="exact"/>
              <w:rPr>
                <w:rFonts w:hint="default" w:cs="Times New Roman"/>
              </w:rPr>
            </w:pPr>
            <w:r>
              <w:rPr>
                <w:rFonts w:hint="default" w:cs="Times New Roman"/>
              </w:rPr>
              <w:t>大气污染物</w:t>
            </w:r>
          </w:p>
        </w:tc>
        <w:tc>
          <w:tcPr>
            <w:tcW w:w="5829" w:type="dxa"/>
            <w:noWrap w:val="0"/>
            <w:vAlign w:val="center"/>
          </w:tcPr>
          <w:p>
            <w:pPr>
              <w:pStyle w:val="16"/>
              <w:bidi w:val="0"/>
              <w:spacing w:line="344" w:lineRule="exact"/>
              <w:jc w:val="left"/>
              <w:rPr>
                <w:rFonts w:hint="default" w:cs="Times New Roman"/>
              </w:rPr>
            </w:pPr>
            <w:r>
              <w:rPr>
                <w:rFonts w:hint="default" w:cs="Times New Roman"/>
              </w:rPr>
              <w:t>工厂的大气污染物排放应符合相关国家标准、行业标准及地方标准要求，并满足区域内排放总量控制要求。</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15</w:t>
            </w:r>
          </w:p>
        </w:tc>
        <w:tc>
          <w:tcPr>
            <w:tcW w:w="711" w:type="dxa"/>
            <w:gridSpan w:val="2"/>
            <w:vMerge w:val="restart"/>
            <w:noWrap w:val="0"/>
            <w:vAlign w:val="center"/>
          </w:tcPr>
          <w:p>
            <w:pPr>
              <w:pStyle w:val="16"/>
              <w:bidi w:val="0"/>
              <w:spacing w:line="350" w:lineRule="exact"/>
              <w:rPr>
                <w:rFonts w:hint="default" w:cs="Times New Roman"/>
              </w:rPr>
            </w:pPr>
            <w:r>
              <w:rPr>
                <w:rFonts w:hint="default" w:cs="Times New Roman"/>
              </w:rPr>
              <w:t>10%</w:t>
            </w: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50" w:lineRule="exact"/>
              <w:rPr>
                <w:rFonts w:hint="default" w:cs="Times New Roman"/>
              </w:rPr>
            </w:pPr>
          </w:p>
        </w:tc>
        <w:tc>
          <w:tcPr>
            <w:tcW w:w="5829" w:type="dxa"/>
            <w:noWrap w:val="0"/>
            <w:vAlign w:val="center"/>
          </w:tcPr>
          <w:p>
            <w:pPr>
              <w:pStyle w:val="16"/>
              <w:bidi w:val="0"/>
              <w:spacing w:line="344" w:lineRule="exact"/>
              <w:jc w:val="left"/>
              <w:rPr>
                <w:rFonts w:hint="default" w:cs="Times New Roman"/>
              </w:rPr>
            </w:pPr>
            <w:r>
              <w:rPr>
                <w:rFonts w:hint="default" w:cs="Times New Roman"/>
              </w:rPr>
              <w:t>工厂的</w:t>
            </w:r>
            <w:r>
              <w:rPr>
                <w:rFonts w:hint="default" w:cs="Times New Roman"/>
                <w:lang w:eastAsia="zh-CN"/>
              </w:rPr>
              <w:t>主要</w:t>
            </w:r>
            <w:r>
              <w:rPr>
                <w:rFonts w:hint="default" w:cs="Times New Roman"/>
              </w:rPr>
              <w:t>大气污染物排放</w:t>
            </w:r>
            <w:r>
              <w:rPr>
                <w:rFonts w:hint="default" w:cs="Times New Roman"/>
                <w:lang w:eastAsia="zh-CN"/>
              </w:rPr>
              <w:t>满足标准中更高等级的要求。</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50" w:lineRule="exact"/>
              <w:rPr>
                <w:rFonts w:hint="default" w:cs="Times New Roman"/>
              </w:rPr>
            </w:pPr>
            <w:r>
              <w:rPr>
                <w:rFonts w:hint="default" w:cs="Times New Roman"/>
              </w:rPr>
              <w:t>水体污染物</w:t>
            </w:r>
          </w:p>
        </w:tc>
        <w:tc>
          <w:tcPr>
            <w:tcW w:w="5829" w:type="dxa"/>
            <w:noWrap w:val="0"/>
            <w:vAlign w:val="center"/>
          </w:tcPr>
          <w:p>
            <w:pPr>
              <w:pStyle w:val="16"/>
              <w:bidi w:val="0"/>
              <w:spacing w:line="344" w:lineRule="exact"/>
              <w:jc w:val="left"/>
              <w:rPr>
                <w:rFonts w:hint="default" w:cs="Times New Roman"/>
              </w:rPr>
            </w:pPr>
            <w:r>
              <w:rPr>
                <w:rFonts w:hint="default" w:cs="Times New Roman"/>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15</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50" w:lineRule="exact"/>
              <w:rPr>
                <w:rFonts w:hint="default" w:cs="Times New Roman"/>
              </w:rPr>
            </w:pPr>
          </w:p>
        </w:tc>
        <w:tc>
          <w:tcPr>
            <w:tcW w:w="5829" w:type="dxa"/>
            <w:noWrap w:val="0"/>
            <w:vAlign w:val="center"/>
          </w:tcPr>
          <w:p>
            <w:pPr>
              <w:pStyle w:val="16"/>
              <w:bidi w:val="0"/>
              <w:spacing w:line="344" w:lineRule="exact"/>
              <w:jc w:val="left"/>
              <w:rPr>
                <w:rFonts w:hint="default" w:cs="Times New Roman"/>
              </w:rPr>
            </w:pPr>
            <w:r>
              <w:rPr>
                <w:rFonts w:hint="default" w:cs="Times New Roman"/>
              </w:rPr>
              <w:t>工厂的</w:t>
            </w:r>
            <w:r>
              <w:rPr>
                <w:rFonts w:hint="default" w:cs="Times New Roman"/>
                <w:lang w:eastAsia="zh-CN"/>
              </w:rPr>
              <w:t>主要水体</w:t>
            </w:r>
            <w:r>
              <w:rPr>
                <w:rFonts w:hint="default" w:cs="Times New Roman"/>
              </w:rPr>
              <w:t>污染物排放</w:t>
            </w:r>
            <w:r>
              <w:rPr>
                <w:rFonts w:hint="default" w:cs="Times New Roman"/>
                <w:lang w:eastAsia="zh-CN"/>
              </w:rPr>
              <w:t>满足标准中更高等级的要求。</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noWrap w:val="0"/>
            <w:vAlign w:val="center"/>
          </w:tcPr>
          <w:p>
            <w:pPr>
              <w:pStyle w:val="16"/>
              <w:bidi w:val="0"/>
              <w:spacing w:line="350" w:lineRule="exact"/>
              <w:rPr>
                <w:rFonts w:hint="default" w:cs="Times New Roman"/>
              </w:rPr>
            </w:pPr>
            <w:r>
              <w:rPr>
                <w:rFonts w:hint="default" w:cs="Times New Roman"/>
              </w:rPr>
              <w:t>固体废</w:t>
            </w:r>
            <w:r>
              <w:rPr>
                <w:rFonts w:hint="default" w:cs="Times New Roman"/>
                <w:lang w:eastAsia="zh-CN"/>
              </w:rPr>
              <w:t>弃</w:t>
            </w:r>
            <w:r>
              <w:rPr>
                <w:rFonts w:hint="default" w:cs="Times New Roman"/>
              </w:rPr>
              <w:t>物</w:t>
            </w:r>
          </w:p>
        </w:tc>
        <w:tc>
          <w:tcPr>
            <w:tcW w:w="5829" w:type="dxa"/>
            <w:noWrap w:val="0"/>
            <w:vAlign w:val="center"/>
          </w:tcPr>
          <w:p>
            <w:pPr>
              <w:pStyle w:val="16"/>
              <w:bidi w:val="0"/>
              <w:spacing w:line="344" w:lineRule="exact"/>
              <w:jc w:val="left"/>
              <w:rPr>
                <w:rFonts w:hint="default" w:cs="Times New Roman"/>
              </w:rPr>
            </w:pPr>
            <w:r>
              <w:rPr>
                <w:rFonts w:hint="default" w:cs="Times New Roman"/>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noWrap w:val="0"/>
            <w:vAlign w:val="center"/>
          </w:tcPr>
          <w:p>
            <w:pPr>
              <w:pStyle w:val="16"/>
              <w:bidi w:val="0"/>
              <w:spacing w:line="350" w:lineRule="exact"/>
              <w:rPr>
                <w:rFonts w:hint="default" w:cs="Times New Roman"/>
              </w:rPr>
            </w:pPr>
            <w:r>
              <w:rPr>
                <w:rFonts w:hint="default" w:cs="Times New Roman"/>
              </w:rPr>
              <w:t>噪声</w:t>
            </w:r>
          </w:p>
        </w:tc>
        <w:tc>
          <w:tcPr>
            <w:tcW w:w="5829" w:type="dxa"/>
            <w:noWrap w:val="0"/>
            <w:vAlign w:val="center"/>
          </w:tcPr>
          <w:p>
            <w:pPr>
              <w:pStyle w:val="16"/>
              <w:bidi w:val="0"/>
              <w:spacing w:line="344" w:lineRule="exact"/>
              <w:jc w:val="left"/>
              <w:rPr>
                <w:rFonts w:hint="default" w:cs="Times New Roman"/>
              </w:rPr>
            </w:pPr>
            <w:r>
              <w:rPr>
                <w:rFonts w:hint="default" w:cs="Times New Roman"/>
              </w:rPr>
              <w:t>工厂的厂界环境噪声排放应符合相关国家标准、行业标准及地方标准要求。</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50" w:lineRule="exact"/>
              <w:rPr>
                <w:rFonts w:hint="default" w:cs="Times New Roman"/>
              </w:rPr>
            </w:pPr>
            <w:r>
              <w:rPr>
                <w:rFonts w:hint="default" w:cs="Times New Roman"/>
              </w:rPr>
              <w:t>温室</w:t>
            </w:r>
          </w:p>
          <w:p>
            <w:pPr>
              <w:pStyle w:val="16"/>
              <w:bidi w:val="0"/>
              <w:spacing w:line="350" w:lineRule="exact"/>
              <w:rPr>
                <w:rFonts w:hint="default" w:cs="Times New Roman"/>
              </w:rPr>
            </w:pPr>
            <w:r>
              <w:rPr>
                <w:rFonts w:hint="default" w:cs="Times New Roman"/>
              </w:rPr>
              <w:t>气体</w:t>
            </w:r>
          </w:p>
        </w:tc>
        <w:tc>
          <w:tcPr>
            <w:tcW w:w="5829" w:type="dxa"/>
            <w:noWrap w:val="0"/>
            <w:vAlign w:val="center"/>
          </w:tcPr>
          <w:p>
            <w:pPr>
              <w:pStyle w:val="16"/>
              <w:bidi w:val="0"/>
              <w:spacing w:line="344" w:lineRule="exact"/>
              <w:jc w:val="left"/>
              <w:rPr>
                <w:rFonts w:hint="default" w:cs="Times New Roman"/>
              </w:rPr>
            </w:pPr>
            <w:r>
              <w:rPr>
                <w:rFonts w:hint="default" w:cs="Times New Roman"/>
              </w:rPr>
              <w:t>工厂应采用GB/T 32150或适用的标准或规范对其厂界范围内的温室气体排放进行核算和报告。</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50" w:lineRule="exact"/>
              <w:rPr>
                <w:rFonts w:hint="default" w:cs="Times New Roman"/>
              </w:rPr>
            </w:pPr>
          </w:p>
        </w:tc>
        <w:tc>
          <w:tcPr>
            <w:tcW w:w="5829" w:type="dxa"/>
            <w:noWrap w:val="0"/>
            <w:vAlign w:val="center"/>
          </w:tcPr>
          <w:p>
            <w:pPr>
              <w:pStyle w:val="16"/>
              <w:bidi w:val="0"/>
              <w:spacing w:line="344" w:lineRule="exact"/>
              <w:jc w:val="left"/>
              <w:rPr>
                <w:rFonts w:hint="default" w:cs="Times New Roman"/>
              </w:rPr>
            </w:pPr>
            <w:r>
              <w:rPr>
                <w:rFonts w:hint="default" w:cs="Times New Roman"/>
              </w:rPr>
              <w:t>获得温室气体排放量第三方核查声明。</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10</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50" w:lineRule="exact"/>
              <w:rPr>
                <w:rFonts w:hint="default" w:cs="Times New Roman"/>
              </w:rPr>
            </w:pPr>
          </w:p>
        </w:tc>
        <w:tc>
          <w:tcPr>
            <w:tcW w:w="5829" w:type="dxa"/>
            <w:noWrap w:val="0"/>
            <w:vAlign w:val="center"/>
          </w:tcPr>
          <w:p>
            <w:pPr>
              <w:pStyle w:val="16"/>
              <w:bidi w:val="0"/>
              <w:spacing w:line="344" w:lineRule="exact"/>
              <w:jc w:val="left"/>
              <w:rPr>
                <w:rFonts w:hint="default" w:cs="Times New Roman"/>
              </w:rPr>
            </w:pPr>
            <w:r>
              <w:rPr>
                <w:rFonts w:hint="default" w:cs="Times New Roman"/>
              </w:rPr>
              <w:t>核查结果对外公布。</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50" w:lineRule="exact"/>
              <w:rPr>
                <w:rFonts w:hint="default" w:cs="Times New Roman"/>
              </w:rPr>
            </w:pPr>
          </w:p>
        </w:tc>
        <w:tc>
          <w:tcPr>
            <w:tcW w:w="5829" w:type="dxa"/>
            <w:noWrap w:val="0"/>
            <w:vAlign w:val="center"/>
          </w:tcPr>
          <w:p>
            <w:pPr>
              <w:pStyle w:val="16"/>
              <w:bidi w:val="0"/>
              <w:spacing w:line="344" w:lineRule="exact"/>
              <w:jc w:val="left"/>
              <w:rPr>
                <w:rFonts w:hint="default" w:cs="Times New Roman"/>
              </w:rPr>
            </w:pPr>
            <w:r>
              <w:rPr>
                <w:rFonts w:hint="default" w:cs="Times New Roman"/>
              </w:rPr>
              <w:t>可行时，利用核算或核查结果对其温室气体的排放进行改善。</w:t>
            </w:r>
          </w:p>
        </w:tc>
        <w:tc>
          <w:tcPr>
            <w:tcW w:w="2407" w:type="dxa"/>
            <w:noWrap w:val="0"/>
            <w:vAlign w:val="center"/>
          </w:tcPr>
          <w:p>
            <w:pPr>
              <w:pStyle w:val="16"/>
              <w:bidi w:val="0"/>
              <w:spacing w:line="350" w:lineRule="exact"/>
              <w:rPr>
                <w:rFonts w:hint="default" w:cs="Times New Roman"/>
              </w:rPr>
            </w:pPr>
            <w:r>
              <w:rPr>
                <w:rFonts w:hint="default" w:cs="Times New Roman"/>
              </w:rPr>
              <w:t>　</w:t>
            </w:r>
          </w:p>
        </w:tc>
        <w:tc>
          <w:tcPr>
            <w:tcW w:w="1275" w:type="dxa"/>
            <w:noWrap w:val="0"/>
            <w:vAlign w:val="center"/>
          </w:tcPr>
          <w:p>
            <w:pPr>
              <w:pStyle w:val="16"/>
              <w:bidi w:val="0"/>
              <w:spacing w:line="35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5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50" w:lineRule="exact"/>
              <w:rPr>
                <w:rFonts w:hint="default" w:cs="Times New Roman"/>
              </w:rPr>
            </w:pPr>
          </w:p>
        </w:tc>
        <w:tc>
          <w:tcPr>
            <w:tcW w:w="770" w:type="dxa"/>
            <w:noWrap w:val="0"/>
            <w:vAlign w:val="center"/>
          </w:tcPr>
          <w:p>
            <w:pPr>
              <w:pStyle w:val="16"/>
              <w:bidi w:val="0"/>
              <w:spacing w:line="35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pStyle w:val="16"/>
              <w:bidi w:val="0"/>
              <w:spacing w:line="380" w:lineRule="exact"/>
              <w:rPr>
                <w:rFonts w:hint="default" w:cs="Times New Roman"/>
              </w:rPr>
            </w:pPr>
            <w:r>
              <w:rPr>
                <w:rFonts w:hint="default" w:cs="Times New Roman"/>
              </w:rPr>
              <w:t>6</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绩效</w:t>
            </w:r>
          </w:p>
        </w:tc>
        <w:tc>
          <w:tcPr>
            <w:tcW w:w="1135" w:type="dxa"/>
            <w:vMerge w:val="restart"/>
            <w:noWrap w:val="0"/>
            <w:vAlign w:val="center"/>
          </w:tcPr>
          <w:p>
            <w:pPr>
              <w:pStyle w:val="16"/>
              <w:bidi w:val="0"/>
              <w:spacing w:line="380" w:lineRule="exact"/>
              <w:rPr>
                <w:rFonts w:hint="default" w:cs="Times New Roman"/>
              </w:rPr>
            </w:pPr>
            <w:r>
              <w:rPr>
                <w:rFonts w:hint="default" w:cs="Times New Roman"/>
              </w:rPr>
              <w:t>用地集约化</w:t>
            </w: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36132附录A计算工厂容积率</w:t>
            </w:r>
            <w:r>
              <w:rPr>
                <w:rFonts w:hint="default" w:cs="Times New Roman"/>
                <w:lang w:eastAsia="zh-CN"/>
              </w:rPr>
              <w:t>，指标</w:t>
            </w:r>
            <w:r>
              <w:rPr>
                <w:rFonts w:hint="default" w:cs="Times New Roman"/>
              </w:rPr>
              <w:t>应不低于《工业项目建设用地控制指标》的要求。</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3</w:t>
            </w:r>
          </w:p>
        </w:tc>
        <w:tc>
          <w:tcPr>
            <w:tcW w:w="711" w:type="dxa"/>
            <w:gridSpan w:val="2"/>
            <w:vMerge w:val="restart"/>
            <w:noWrap w:val="0"/>
            <w:vAlign w:val="center"/>
          </w:tcPr>
          <w:p>
            <w:pPr>
              <w:pStyle w:val="16"/>
              <w:bidi w:val="0"/>
              <w:spacing w:line="380" w:lineRule="exact"/>
              <w:rPr>
                <w:rFonts w:hint="default" w:cs="Times New Roman"/>
              </w:rPr>
            </w:pPr>
            <w:r>
              <w:rPr>
                <w:rFonts w:hint="default" w:cs="Times New Roman"/>
              </w:rPr>
              <w:t>30%</w:t>
            </w: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36132附录A计算工厂容积率</w:t>
            </w:r>
            <w:r>
              <w:rPr>
                <w:rFonts w:hint="default" w:cs="Times New Roman"/>
                <w:lang w:eastAsia="zh-CN"/>
              </w:rPr>
              <w:t>，指标</w:t>
            </w:r>
            <w:r>
              <w:rPr>
                <w:rFonts w:hint="default" w:cs="Times New Roman"/>
              </w:rPr>
              <w:t>达到《工业项目建设用地控制指标》要求的1.2倍</w:t>
            </w:r>
            <w:r>
              <w:rPr>
                <w:rFonts w:hint="default" w:cs="Times New Roman"/>
                <w:lang w:eastAsia="zh-CN"/>
              </w:rPr>
              <w:t>及</w:t>
            </w:r>
            <w:r>
              <w:rPr>
                <w:rFonts w:hint="default" w:cs="Times New Roman"/>
              </w:rPr>
              <w:t>以上，2倍</w:t>
            </w:r>
            <w:r>
              <w:rPr>
                <w:rFonts w:hint="default" w:cs="Times New Roman"/>
                <w:lang w:eastAsia="zh-CN"/>
              </w:rPr>
              <w:t>及</w:t>
            </w:r>
            <w:r>
              <w:rPr>
                <w:rFonts w:hint="default" w:cs="Times New Roman"/>
              </w:rPr>
              <w:t>以上为满分。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2</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36132附录A计算工厂建筑密度，建筑密度不低于30%。</w:t>
            </w:r>
          </w:p>
        </w:tc>
        <w:tc>
          <w:tcPr>
            <w:tcW w:w="2407" w:type="dxa"/>
            <w:vMerge w:val="restart"/>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36132附录A计算工厂建筑密度，建筑密度</w:t>
            </w:r>
            <w:r>
              <w:rPr>
                <w:rFonts w:hint="default" w:cs="Times New Roman"/>
                <w:lang w:eastAsia="zh-CN"/>
              </w:rPr>
              <w:t>达到</w:t>
            </w:r>
            <w:r>
              <w:rPr>
                <w:rFonts w:hint="default" w:cs="Times New Roman"/>
                <w:lang w:val="en-US" w:eastAsia="zh-CN"/>
              </w:rPr>
              <w:t>4</w:t>
            </w:r>
            <w:r>
              <w:rPr>
                <w:rFonts w:hint="default" w:cs="Times New Roman"/>
              </w:rPr>
              <w:t>0%。</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2</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lang w:eastAsia="zh-CN"/>
              </w:rPr>
            </w:pPr>
            <w:r>
              <w:rPr>
                <w:rFonts w:hint="default" w:cs="Times New Roman"/>
              </w:rPr>
              <w:t>工厂的单位用地面积产能应不低于行业平均水平</w:t>
            </w:r>
            <w:r>
              <w:rPr>
                <w:rFonts w:hint="default" w:cs="Times New Roman"/>
                <w:lang w:eastAsia="zh-CN"/>
              </w:rPr>
              <w:t>；</w:t>
            </w:r>
            <w:r>
              <w:rPr>
                <w:rFonts w:hint="default" w:cs="Times New Roman"/>
              </w:rPr>
              <w:t>或：工厂的单位用地面积产值不低于地方发布的单位用地面积产值的要求；未发布单位用地面积产值的地区，单位用地面积产值应超过本年度所在省市的单位用地面积产值</w:t>
            </w:r>
            <w:r>
              <w:rPr>
                <w:rFonts w:hint="default" w:cs="Times New Roman"/>
                <w:lang w:eastAsia="zh-CN"/>
              </w:rPr>
              <w:t>。</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lang w:eastAsia="zh-CN"/>
              </w:rPr>
            </w:pPr>
            <w:r>
              <w:rPr>
                <w:rFonts w:hint="default" w:cs="Times New Roman"/>
              </w:rPr>
              <w:t>工厂的单位用地面积产能指标优于行业前20%</w:t>
            </w:r>
            <w:r>
              <w:rPr>
                <w:rFonts w:hint="default" w:cs="Times New Roman"/>
                <w:lang w:eastAsia="zh-CN"/>
              </w:rPr>
              <w:t>，前</w:t>
            </w:r>
            <w:r>
              <w:rPr>
                <w:rFonts w:hint="default" w:cs="Times New Roman"/>
                <w:lang w:val="en-US" w:eastAsia="zh-CN"/>
              </w:rPr>
              <w:t>5%为满分</w:t>
            </w:r>
            <w:r>
              <w:rPr>
                <w:rFonts w:hint="default" w:cs="Times New Roman"/>
                <w:lang w:eastAsia="zh-CN"/>
              </w:rPr>
              <w:t>；</w:t>
            </w:r>
            <w:r>
              <w:rPr>
                <w:rFonts w:hint="default" w:cs="Times New Roman"/>
              </w:rPr>
              <w:t>或：单位用地面积产值达到地方发布的单位用地面积产值的要求的1.</w:t>
            </w:r>
            <w:r>
              <w:rPr>
                <w:rFonts w:hint="default" w:cs="Times New Roman"/>
                <w:lang w:val="en-US" w:eastAsia="zh-CN"/>
              </w:rPr>
              <w:t>2</w:t>
            </w:r>
            <w:r>
              <w:rPr>
                <w:rFonts w:hint="default" w:cs="Times New Roman"/>
              </w:rPr>
              <w:t>倍及以上</w:t>
            </w:r>
            <w:r>
              <w:rPr>
                <w:rFonts w:hint="default" w:cs="Times New Roman"/>
                <w:lang w:eastAsia="zh-CN"/>
              </w:rPr>
              <w:t>，</w:t>
            </w:r>
            <w:r>
              <w:rPr>
                <w:rFonts w:hint="default" w:cs="Times New Roman"/>
                <w:lang w:val="en-US" w:eastAsia="zh-CN"/>
              </w:rPr>
              <w:t>2倍为满分</w:t>
            </w:r>
            <w:r>
              <w:rPr>
                <w:rFonts w:hint="default" w:cs="Times New Roman"/>
              </w:rPr>
              <w:t>；未发布单位用地面积产值的地区，单位用地面积产值应达到本年度所在省市的单位用地面积产值1.2倍及以上</w:t>
            </w:r>
            <w:r>
              <w:rPr>
                <w:rFonts w:hint="default" w:cs="Times New Roman"/>
                <w:lang w:eastAsia="zh-CN"/>
              </w:rPr>
              <w:t>，</w:t>
            </w:r>
            <w:r>
              <w:rPr>
                <w:rFonts w:hint="default" w:cs="Times New Roman"/>
                <w:lang w:val="en-US" w:eastAsia="zh-CN"/>
              </w:rPr>
              <w:t>2倍为满分</w:t>
            </w:r>
            <w:r>
              <w:rPr>
                <w:rFonts w:hint="default" w:cs="Times New Roman"/>
                <w:lang w:eastAsia="zh-CN"/>
              </w:rPr>
              <w:t>。</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2</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lang w:eastAsia="zh-CN"/>
              </w:rPr>
            </w:pPr>
            <w:r>
              <w:rPr>
                <w:rFonts w:hint="default" w:cs="Times New Roman"/>
                <w:lang w:eastAsia="zh-CN"/>
              </w:rPr>
              <w:t>原料无害化</w:t>
            </w: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36132附录A识别、统计和计算工厂的绿色物料使用情况。</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w:t>
            </w:r>
            <w:r>
              <w:rPr>
                <w:rFonts w:hint="default" w:cs="Times New Roman"/>
                <w:lang w:eastAsia="zh-CN"/>
              </w:rPr>
              <w:t>计算工厂主要物料的绿</w:t>
            </w:r>
            <w:r>
              <w:rPr>
                <w:rFonts w:hint="default" w:cs="Times New Roman"/>
              </w:rPr>
              <w:t>色物料使用率达30%及以上。</w:t>
            </w:r>
          </w:p>
        </w:tc>
        <w:tc>
          <w:tcPr>
            <w:tcW w:w="2407" w:type="dxa"/>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lang w:eastAsia="zh-C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lang w:val="en-US" w:eastAsia="zh-CN"/>
              </w:rPr>
            </w:pPr>
            <w:r>
              <w:rPr>
                <w:rFonts w:hint="default" w:cs="Times New Roman"/>
                <w:lang w:val="en-US" w:eastAsia="zh-C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生产洁净化</w:t>
            </w: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36132附录A计算单位产品主要污染物产生量（包括化学需氧量、氨氮、二氧化硫、氮氧化物等）</w:t>
            </w:r>
            <w:r>
              <w:rPr>
                <w:rFonts w:hint="default" w:cs="Times New Roman"/>
                <w:lang w:eastAsia="zh-CN"/>
              </w:rPr>
              <w:t>，指标</w:t>
            </w:r>
            <w:r>
              <w:rPr>
                <w:rFonts w:hint="default" w:cs="Times New Roman"/>
              </w:rPr>
              <w:t>应不高于行业平均水平。（装备、电子、电器等离散制造业可采用单位产值或单位工业增加值指标。）</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36132附录A计算单位产品主要污染物产生量（包括化学需氧量、氨氮、二氧化硫、氮氧化物等）</w:t>
            </w:r>
            <w:r>
              <w:rPr>
                <w:rFonts w:hint="default" w:cs="Times New Roman"/>
                <w:lang w:eastAsia="zh-CN"/>
              </w:rPr>
              <w:t>，指标</w:t>
            </w:r>
            <w:r>
              <w:rPr>
                <w:rFonts w:hint="default" w:cs="Times New Roman"/>
              </w:rPr>
              <w:t>优于行业前20%水平。（装备、电子、电器等离散制造业可采用单位产值或单位工业增加值指标。）前5%为满分。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36132附录A计算单位产品废气产生量</w:t>
            </w:r>
            <w:r>
              <w:rPr>
                <w:rFonts w:hint="default" w:cs="Times New Roman"/>
                <w:lang w:eastAsia="zh-CN"/>
              </w:rPr>
              <w:t>，指标</w:t>
            </w:r>
            <w:r>
              <w:rPr>
                <w:rFonts w:hint="default" w:cs="Times New Roman"/>
              </w:rPr>
              <w:t>应不高于行业平均水平。（装备、电子、电器等离散制造业可采用单位产值或单位工业增加值指标。）</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80" w:lineRule="exact"/>
              <w:jc w:val="left"/>
              <w:rPr>
                <w:rFonts w:hint="default" w:cs="Times New Roman"/>
              </w:rPr>
            </w:pPr>
            <w:r>
              <w:rPr>
                <w:rFonts w:hint="default" w:cs="Times New Roman"/>
              </w:rPr>
              <w:t>按照GB/T 36132附录A计算单位产品废气产生量</w:t>
            </w:r>
            <w:r>
              <w:rPr>
                <w:rFonts w:hint="default" w:cs="Times New Roman"/>
                <w:lang w:eastAsia="zh-CN"/>
              </w:rPr>
              <w:t>，指标</w:t>
            </w:r>
            <w:r>
              <w:rPr>
                <w:rFonts w:hint="default" w:cs="Times New Roman"/>
              </w:rPr>
              <w:t>优于行业前20%水平。（装备、电子、电器等离散制造业可采用单位产值或单位工业增加值指标。）前5%为满分。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36132附录A计算单位产品废水产生量</w:t>
            </w:r>
            <w:r>
              <w:rPr>
                <w:rFonts w:hint="default" w:cs="Times New Roman"/>
                <w:lang w:eastAsia="zh-CN"/>
              </w:rPr>
              <w:t>，指标</w:t>
            </w:r>
            <w:r>
              <w:rPr>
                <w:rFonts w:hint="default" w:cs="Times New Roman"/>
              </w:rPr>
              <w:t>应不高于行业平均水平。（装备、电子、电器等离散制造业可采用单位产值或单位工业增加值指标。）</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36132附录A计算单位产品废水产生量</w:t>
            </w:r>
            <w:r>
              <w:rPr>
                <w:rFonts w:hint="default" w:cs="Times New Roman"/>
                <w:lang w:eastAsia="zh-CN"/>
              </w:rPr>
              <w:t>，指标</w:t>
            </w:r>
            <w:r>
              <w:rPr>
                <w:rFonts w:hint="default" w:cs="Times New Roman"/>
              </w:rPr>
              <w:t>优于行业前20%水平。（装备、电子、电器等离散制造业可采用单位产值或单位工业增加值指标。）前5%为满分。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废物资源化</w:t>
            </w: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36132附录A计算单位产品主要原材料消耗量</w:t>
            </w:r>
            <w:r>
              <w:rPr>
                <w:rFonts w:hint="default" w:cs="Times New Roman"/>
                <w:lang w:eastAsia="zh-CN"/>
              </w:rPr>
              <w:t>，指标</w:t>
            </w:r>
            <w:r>
              <w:rPr>
                <w:rFonts w:hint="default" w:cs="Times New Roman"/>
              </w:rPr>
              <w:t>应不高于行业平均水平。</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36132附录A计算单位产品主要原材料消耗量</w:t>
            </w:r>
            <w:r>
              <w:rPr>
                <w:rFonts w:hint="default" w:cs="Times New Roman"/>
                <w:lang w:eastAsia="zh-CN"/>
              </w:rPr>
              <w:t>，指标</w:t>
            </w:r>
            <w:r>
              <w:rPr>
                <w:rFonts w:hint="default" w:cs="Times New Roman"/>
              </w:rPr>
              <w:t>优于行业前20%水平，前5%为满分。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36132附录A计算工业固体废物综合利用率</w:t>
            </w:r>
            <w:r>
              <w:rPr>
                <w:rFonts w:hint="default" w:cs="Times New Roman"/>
                <w:lang w:eastAsia="zh-CN"/>
              </w:rPr>
              <w:t>，指标</w:t>
            </w:r>
            <w:r>
              <w:rPr>
                <w:rFonts w:hint="default" w:cs="Times New Roman"/>
              </w:rPr>
              <w:t>应大于65%（根据行业特点，该指标可在±20%之间选取）。</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36132附录A计算工业固体废物综合利用率</w:t>
            </w:r>
            <w:r>
              <w:rPr>
                <w:rFonts w:hint="default" w:cs="Times New Roman"/>
                <w:lang w:eastAsia="zh-CN"/>
              </w:rPr>
              <w:t>，指标</w:t>
            </w:r>
            <w:r>
              <w:rPr>
                <w:rFonts w:hint="default" w:cs="Times New Roman"/>
              </w:rPr>
              <w:t>达到73%（根据行业特点，该指标可在±20%之间选取），90%为满分。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36132附录A计算废水处理回用率</w:t>
            </w:r>
            <w:r>
              <w:rPr>
                <w:rFonts w:hint="default" w:cs="Times New Roman"/>
                <w:lang w:eastAsia="zh-CN"/>
              </w:rPr>
              <w:t>，指标</w:t>
            </w:r>
            <w:r>
              <w:rPr>
                <w:rFonts w:hint="default" w:cs="Times New Roman"/>
              </w:rPr>
              <w:t>高于行业平均值。</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36132附录A计算废水处理回用率</w:t>
            </w:r>
            <w:r>
              <w:rPr>
                <w:rFonts w:hint="default" w:cs="Times New Roman"/>
                <w:lang w:eastAsia="zh-CN"/>
              </w:rPr>
              <w:t>，指标</w:t>
            </w:r>
            <w:r>
              <w:rPr>
                <w:rFonts w:hint="default" w:cs="Times New Roman"/>
              </w:rPr>
              <w:t>优于行业前20%水平，前5%为满分。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restart"/>
            <w:noWrap w:val="0"/>
            <w:vAlign w:val="center"/>
          </w:tcPr>
          <w:p>
            <w:pPr>
              <w:pStyle w:val="16"/>
              <w:bidi w:val="0"/>
              <w:spacing w:line="380" w:lineRule="exact"/>
              <w:rPr>
                <w:rFonts w:hint="default" w:cs="Times New Roman"/>
              </w:rPr>
            </w:pPr>
            <w:r>
              <w:rPr>
                <w:rFonts w:hint="default" w:cs="Times New Roman"/>
              </w:rPr>
              <w:t>能源低碳化</w:t>
            </w: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36132附录A计算单位产品综合能耗</w:t>
            </w:r>
            <w:r>
              <w:rPr>
                <w:rFonts w:hint="default" w:cs="Times New Roman"/>
                <w:lang w:eastAsia="zh-CN"/>
              </w:rPr>
              <w:t>，指标</w:t>
            </w:r>
            <w:r>
              <w:rPr>
                <w:rFonts w:hint="default" w:cs="Times New Roman"/>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rPr>
              <w:t>6</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36132附录A计算单位产品综合能耗</w:t>
            </w:r>
            <w:r>
              <w:rPr>
                <w:rFonts w:hint="default" w:cs="Times New Roman"/>
                <w:lang w:eastAsia="zh-CN"/>
              </w:rPr>
              <w:t>，指标</w:t>
            </w:r>
            <w:r>
              <w:rPr>
                <w:rFonts w:hint="default" w:cs="Times New Roman"/>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rPr>
              <w:t>4</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36132附录A计算单位产品碳排放量</w:t>
            </w:r>
            <w:r>
              <w:rPr>
                <w:rFonts w:hint="default" w:cs="Times New Roman"/>
                <w:lang w:eastAsia="zh-CN"/>
              </w:rPr>
              <w:t>，指标</w:t>
            </w:r>
            <w:r>
              <w:rPr>
                <w:rFonts w:hint="default" w:cs="Times New Roman"/>
              </w:rPr>
              <w:t>应优于行业平均水平。（装备、电子、电器等离散制造业可采用单位产值或单位工业增加值指标。）</w:t>
            </w:r>
          </w:p>
        </w:tc>
        <w:tc>
          <w:tcPr>
            <w:tcW w:w="2407" w:type="dxa"/>
            <w:vMerge w:val="restart"/>
            <w:noWrap w:val="0"/>
            <w:vAlign w:val="center"/>
          </w:tcPr>
          <w:p>
            <w:pPr>
              <w:pStyle w:val="16"/>
              <w:bidi w:val="0"/>
              <w:spacing w:line="380" w:lineRule="exact"/>
              <w:rPr>
                <w:rFonts w:hint="default" w:cs="Times New Roman"/>
              </w:rPr>
            </w:pPr>
            <w:r>
              <w:rPr>
                <w:rFonts w:hint="default" w:cs="Times New Roman"/>
              </w:rPr>
              <w:t>　</w:t>
            </w:r>
          </w:p>
        </w:tc>
        <w:tc>
          <w:tcPr>
            <w:tcW w:w="1275" w:type="dxa"/>
            <w:noWrap w:val="0"/>
            <w:vAlign w:val="center"/>
          </w:tcPr>
          <w:p>
            <w:pPr>
              <w:pStyle w:val="16"/>
              <w:bidi w:val="0"/>
              <w:spacing w:line="380" w:lineRule="exact"/>
              <w:rPr>
                <w:rFonts w:hint="default" w:cs="Times New Roman"/>
              </w:rPr>
            </w:pPr>
            <w:r>
              <w:rPr>
                <w:rFonts w:hint="default" w:cs="Times New Roman"/>
                <w:lang w:eastAsia="zh-CN"/>
              </w:rPr>
              <w:t>必选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3</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1135" w:type="dxa"/>
            <w:vMerge w:val="continue"/>
            <w:noWrap w:val="0"/>
            <w:vAlign w:val="center"/>
          </w:tcPr>
          <w:p>
            <w:pPr>
              <w:pStyle w:val="16"/>
              <w:bidi w:val="0"/>
              <w:spacing w:line="380" w:lineRule="exact"/>
              <w:rPr>
                <w:rFonts w:hint="default" w:cs="Times New Roman"/>
              </w:rPr>
            </w:pPr>
          </w:p>
        </w:tc>
        <w:tc>
          <w:tcPr>
            <w:tcW w:w="5829" w:type="dxa"/>
            <w:noWrap w:val="0"/>
            <w:vAlign w:val="center"/>
          </w:tcPr>
          <w:p>
            <w:pPr>
              <w:pStyle w:val="16"/>
              <w:bidi w:val="0"/>
              <w:spacing w:line="360" w:lineRule="exact"/>
              <w:jc w:val="left"/>
              <w:rPr>
                <w:rFonts w:hint="default" w:cs="Times New Roman"/>
              </w:rPr>
            </w:pPr>
            <w:r>
              <w:rPr>
                <w:rFonts w:hint="default" w:cs="Times New Roman"/>
              </w:rPr>
              <w:t>按照GB/T 36132附录A计算单位产品碳排放量</w:t>
            </w:r>
            <w:r>
              <w:rPr>
                <w:rFonts w:hint="default" w:cs="Times New Roman"/>
                <w:lang w:eastAsia="zh-CN"/>
              </w:rPr>
              <w:t>，指标</w:t>
            </w:r>
            <w:r>
              <w:rPr>
                <w:rFonts w:hint="default" w:cs="Times New Roman"/>
              </w:rPr>
              <w:t>优于行业前20%水平。（装备、电子、电器等离散制造业可采用单位产值或单位工业增加值指标。）前5%为满分。</w:t>
            </w:r>
          </w:p>
        </w:tc>
        <w:tc>
          <w:tcPr>
            <w:tcW w:w="2407" w:type="dxa"/>
            <w:vMerge w:val="continue"/>
            <w:noWrap w:val="0"/>
            <w:vAlign w:val="center"/>
          </w:tcPr>
          <w:p>
            <w:pPr>
              <w:pStyle w:val="16"/>
              <w:bidi w:val="0"/>
              <w:spacing w:line="380" w:lineRule="exact"/>
              <w:rPr>
                <w:rFonts w:hint="default" w:cs="Times New Roman"/>
              </w:rPr>
            </w:pPr>
          </w:p>
        </w:tc>
        <w:tc>
          <w:tcPr>
            <w:tcW w:w="1275" w:type="dxa"/>
            <w:noWrap w:val="0"/>
            <w:vAlign w:val="center"/>
          </w:tcPr>
          <w:p>
            <w:pPr>
              <w:pStyle w:val="16"/>
              <w:bidi w:val="0"/>
              <w:spacing w:line="380" w:lineRule="exact"/>
              <w:rPr>
                <w:rFonts w:hint="default" w:cs="Times New Roman"/>
              </w:rPr>
            </w:pPr>
            <w:r>
              <w:rPr>
                <w:rFonts w:hint="default" w:cs="Times New Roman"/>
                <w:lang w:eastAsia="zh-CN"/>
              </w:rPr>
              <w:t>可选</w:t>
            </w:r>
          </w:p>
        </w:tc>
        <w:tc>
          <w:tcPr>
            <w:tcW w:w="851" w:type="dxa"/>
            <w:gridSpan w:val="2"/>
            <w:noWrap w:val="0"/>
            <w:vAlign w:val="center"/>
          </w:tcPr>
          <w:p>
            <w:pPr>
              <w:pStyle w:val="16"/>
              <w:bidi w:val="0"/>
              <w:spacing w:line="380" w:lineRule="exact"/>
              <w:rPr>
                <w:rFonts w:hint="default" w:cs="Times New Roman"/>
              </w:rPr>
            </w:pPr>
            <w:r>
              <w:rPr>
                <w:rFonts w:hint="default" w:cs="Times New Roman"/>
                <w:lang w:val="en-US" w:eastAsia="zh-CN"/>
              </w:rPr>
              <w:t>2</w:t>
            </w:r>
          </w:p>
        </w:tc>
        <w:tc>
          <w:tcPr>
            <w:tcW w:w="711" w:type="dxa"/>
            <w:gridSpan w:val="2"/>
            <w:vMerge w:val="continue"/>
            <w:noWrap w:val="0"/>
            <w:vAlign w:val="center"/>
          </w:tcPr>
          <w:p>
            <w:pPr>
              <w:pStyle w:val="16"/>
              <w:bidi w:val="0"/>
              <w:spacing w:line="380" w:lineRule="exact"/>
              <w:rPr>
                <w:rFonts w:hint="default" w:cs="Times New Roman"/>
              </w:rPr>
            </w:pPr>
          </w:p>
        </w:tc>
        <w:tc>
          <w:tcPr>
            <w:tcW w:w="770" w:type="dxa"/>
            <w:noWrap w:val="0"/>
            <w:vAlign w:val="center"/>
          </w:tcPr>
          <w:p>
            <w:pPr>
              <w:pStyle w:val="16"/>
              <w:bidi w:val="0"/>
              <w:spacing w:line="380" w:lineRule="exact"/>
              <w:rPr>
                <w:rFonts w:hint="default" w:cs="Times New Roman"/>
              </w:rPr>
            </w:pPr>
            <w:r>
              <w:rPr>
                <w:rFonts w:hint="default"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2"/>
          <w:wAfter w:w="869" w:type="dxa"/>
          <w:cantSplit/>
          <w:trHeight w:val="23" w:hRule="atLeast"/>
        </w:trPr>
        <w:tc>
          <w:tcPr>
            <w:tcW w:w="13178" w:type="dxa"/>
            <w:gridSpan w:val="7"/>
            <w:noWrap w:val="0"/>
            <w:vAlign w:val="center"/>
          </w:tcPr>
          <w:p>
            <w:pPr>
              <w:pStyle w:val="16"/>
              <w:bidi w:val="0"/>
              <w:spacing w:line="380" w:lineRule="exact"/>
              <w:rPr>
                <w:rFonts w:hint="default" w:cs="Times New Roman"/>
              </w:rPr>
            </w:pPr>
            <w:r>
              <w:rPr>
                <w:rFonts w:hint="default" w:cs="Times New Roman"/>
              </w:rPr>
              <w:t>总分</w:t>
            </w:r>
          </w:p>
        </w:tc>
        <w:tc>
          <w:tcPr>
            <w:tcW w:w="770" w:type="dxa"/>
            <w:gridSpan w:val="2"/>
            <w:noWrap w:val="0"/>
            <w:vAlign w:val="center"/>
          </w:tcPr>
          <w:p>
            <w:pPr>
              <w:pStyle w:val="16"/>
              <w:bidi w:val="0"/>
              <w:spacing w:line="380" w:lineRule="exact"/>
              <w:rPr>
                <w:rFonts w:hint="default" w:cs="Times New Roman"/>
              </w:rPr>
            </w:pPr>
          </w:p>
        </w:tc>
      </w:tr>
    </w:tbl>
    <w:p>
      <w:pPr>
        <w:spacing w:line="360" w:lineRule="exac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spacing w:line="360" w:lineRule="exact"/>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p>
      <w:pPr>
        <w:pStyle w:val="2"/>
        <w:rPr>
          <w:rFonts w:hint="default" w:ascii="Times New Roman" w:hAnsi="Times New Roman" w:eastAsia="仿宋" w:cs="Times New Roman"/>
          <w:color w:val="000000" w:themeColor="text1"/>
          <w:sz w:val="32"/>
          <w:szCs w:val="32"/>
          <w14:textFill>
            <w14:solidFill>
              <w14:schemeClr w14:val="tx1"/>
            </w14:solidFill>
          </w14:textFill>
        </w:rPr>
        <w:sectPr>
          <w:pgSz w:w="16838" w:h="11906" w:orient="landscape"/>
          <w:pgMar w:top="1417" w:right="1134" w:bottom="1134" w:left="1134" w:header="851" w:footer="1134" w:gutter="0"/>
          <w:pgNumType w:fmt="decimal"/>
          <w:cols w:space="0" w:num="1"/>
          <w:rtlGutter w:val="0"/>
          <w:docGrid w:type="lines" w:linePitch="445" w:charSpace="0"/>
        </w:sectPr>
      </w:pPr>
    </w:p>
    <w:p>
      <w:pPr>
        <w:widowControl/>
        <w:bidi w:val="0"/>
        <w:snapToGrid w:val="0"/>
        <w:spacing w:before="625" w:beforeLines="200" w:line="620" w:lineRule="exact"/>
        <w:ind w:firstLine="0" w:firstLineChars="0"/>
        <w:jc w:val="left"/>
        <w:rPr>
          <w:rFonts w:hint="default" w:ascii="Times New Roman" w:hAnsi="Times New Roman" w:cs="Times New Roman"/>
          <w:lang w:val="en-US" w:eastAsia="zh-CN"/>
        </w:rPr>
      </w:pPr>
      <w:bookmarkStart w:id="0" w:name="_GoBack"/>
      <w:bookmarkEnd w:id="0"/>
    </w:p>
    <w:sectPr>
      <w:headerReference r:id="rId7" w:type="default"/>
      <w:footerReference r:id="rId8" w:type="default"/>
      <w:pgSz w:w="11906" w:h="16838"/>
      <w:pgMar w:top="1440" w:right="1417" w:bottom="1134" w:left="141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8D37D7-F784-4C5D-B521-85B680129D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0472C01-F23E-4F9F-96AD-DC05B5E6E9B2}"/>
  </w:font>
  <w:font w:name="仿宋_GB2312">
    <w:panose1 w:val="02010609030101010101"/>
    <w:charset w:val="86"/>
    <w:family w:val="modern"/>
    <w:pitch w:val="default"/>
    <w:sig w:usb0="00000001" w:usb1="080E0000" w:usb2="00000000" w:usb3="00000000" w:csb0="00040000" w:csb1="00000000"/>
    <w:embedRegular r:id="rId3" w:fontKey="{0D371B11-377B-4136-9A5D-9DDE0AB258C5}"/>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00000000000000000"/>
    <w:charset w:val="86"/>
    <w:family w:val="auto"/>
    <w:pitch w:val="default"/>
    <w:sig w:usb0="00000001" w:usb1="08000000" w:usb2="00000000" w:usb3="00000000" w:csb0="00040000" w:csb1="00000000"/>
    <w:embedRegular r:id="rId4" w:fontKey="{FDB4E249-6E01-4D2F-AB8E-21741EFE4E10}"/>
  </w:font>
  <w:font w:name="方正仿宋简体">
    <w:panose1 w:val="02000000000000000000"/>
    <w:charset w:val="86"/>
    <w:family w:val="auto"/>
    <w:pitch w:val="default"/>
    <w:sig w:usb0="A00002BF" w:usb1="184F6CFA" w:usb2="00000012" w:usb3="00000000" w:csb0="00040001" w:csb1="00000000"/>
    <w:embedRegular r:id="rId5" w:fontKey="{505901B8-5FE6-44E3-B56B-EC9490FDC9A4}"/>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8</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8</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hAnsi="仿宋_GB2312" w:eastAsia="仿宋_GB2312" w:cs="仿宋_GB2312"/>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2F66A"/>
    <w:multiLevelType w:val="singleLevel"/>
    <w:tmpl w:val="1802F66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23"/>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00000000"/>
    <w:rsid w:val="00006C64"/>
    <w:rsid w:val="00EC62C5"/>
    <w:rsid w:val="01EA563A"/>
    <w:rsid w:val="02182027"/>
    <w:rsid w:val="04056666"/>
    <w:rsid w:val="04515577"/>
    <w:rsid w:val="050D0C15"/>
    <w:rsid w:val="05EE19B1"/>
    <w:rsid w:val="06275A88"/>
    <w:rsid w:val="06615D37"/>
    <w:rsid w:val="079C7C2B"/>
    <w:rsid w:val="083D7353"/>
    <w:rsid w:val="093143A5"/>
    <w:rsid w:val="09341DDF"/>
    <w:rsid w:val="09C5307C"/>
    <w:rsid w:val="0A6D42A5"/>
    <w:rsid w:val="0BBA529E"/>
    <w:rsid w:val="0C50326D"/>
    <w:rsid w:val="0C9910B8"/>
    <w:rsid w:val="0CBC0458"/>
    <w:rsid w:val="0E314D73"/>
    <w:rsid w:val="0E6D2F99"/>
    <w:rsid w:val="0F04605C"/>
    <w:rsid w:val="103535FF"/>
    <w:rsid w:val="10823DFF"/>
    <w:rsid w:val="1323774E"/>
    <w:rsid w:val="14513291"/>
    <w:rsid w:val="190D6382"/>
    <w:rsid w:val="1B627DA5"/>
    <w:rsid w:val="1E631B3E"/>
    <w:rsid w:val="1F5C01BC"/>
    <w:rsid w:val="1FB24737"/>
    <w:rsid w:val="21177E54"/>
    <w:rsid w:val="211A5ECC"/>
    <w:rsid w:val="2137019A"/>
    <w:rsid w:val="2161774C"/>
    <w:rsid w:val="21817762"/>
    <w:rsid w:val="218A4903"/>
    <w:rsid w:val="223E5123"/>
    <w:rsid w:val="226C50BD"/>
    <w:rsid w:val="23526B5D"/>
    <w:rsid w:val="23C003C0"/>
    <w:rsid w:val="23F86DE8"/>
    <w:rsid w:val="23FD2045"/>
    <w:rsid w:val="240E06EA"/>
    <w:rsid w:val="241167A4"/>
    <w:rsid w:val="24BF2521"/>
    <w:rsid w:val="25C0762C"/>
    <w:rsid w:val="25CE5645"/>
    <w:rsid w:val="263F745E"/>
    <w:rsid w:val="268B360F"/>
    <w:rsid w:val="26D00737"/>
    <w:rsid w:val="27FC11E9"/>
    <w:rsid w:val="28807AAD"/>
    <w:rsid w:val="28FE763D"/>
    <w:rsid w:val="294F78D1"/>
    <w:rsid w:val="2AAF1965"/>
    <w:rsid w:val="2AB729DE"/>
    <w:rsid w:val="2B113825"/>
    <w:rsid w:val="2F1F6475"/>
    <w:rsid w:val="30E955F3"/>
    <w:rsid w:val="311A5D88"/>
    <w:rsid w:val="31503495"/>
    <w:rsid w:val="31E07DB0"/>
    <w:rsid w:val="31F70A44"/>
    <w:rsid w:val="32056F98"/>
    <w:rsid w:val="32060550"/>
    <w:rsid w:val="32737B71"/>
    <w:rsid w:val="33FC15AB"/>
    <w:rsid w:val="34C50702"/>
    <w:rsid w:val="34EE6607"/>
    <w:rsid w:val="365D049F"/>
    <w:rsid w:val="36CC0ADE"/>
    <w:rsid w:val="36E40680"/>
    <w:rsid w:val="37D62945"/>
    <w:rsid w:val="38D701DA"/>
    <w:rsid w:val="39CD3FCC"/>
    <w:rsid w:val="39E30A5D"/>
    <w:rsid w:val="3A357831"/>
    <w:rsid w:val="3BD366E7"/>
    <w:rsid w:val="3BFE77C5"/>
    <w:rsid w:val="3D534910"/>
    <w:rsid w:val="3D6200CE"/>
    <w:rsid w:val="3DAF1AFC"/>
    <w:rsid w:val="3DDA2122"/>
    <w:rsid w:val="3E657EB8"/>
    <w:rsid w:val="3EB968D0"/>
    <w:rsid w:val="3F3F1567"/>
    <w:rsid w:val="3FD64426"/>
    <w:rsid w:val="404C4038"/>
    <w:rsid w:val="4139683E"/>
    <w:rsid w:val="426A5DC5"/>
    <w:rsid w:val="42D807F6"/>
    <w:rsid w:val="434B6DE0"/>
    <w:rsid w:val="4451704B"/>
    <w:rsid w:val="44AA4DBA"/>
    <w:rsid w:val="452C3E4A"/>
    <w:rsid w:val="46676BCD"/>
    <w:rsid w:val="4686658E"/>
    <w:rsid w:val="46FF1B52"/>
    <w:rsid w:val="47F551C0"/>
    <w:rsid w:val="482D7AFD"/>
    <w:rsid w:val="496F4E6B"/>
    <w:rsid w:val="49770820"/>
    <w:rsid w:val="4B226B0E"/>
    <w:rsid w:val="4B3A25A6"/>
    <w:rsid w:val="4CA62733"/>
    <w:rsid w:val="4CE267C4"/>
    <w:rsid w:val="4DD20B95"/>
    <w:rsid w:val="4E8449BD"/>
    <w:rsid w:val="4F65127B"/>
    <w:rsid w:val="4F93011A"/>
    <w:rsid w:val="4F9E0BAC"/>
    <w:rsid w:val="50591CBD"/>
    <w:rsid w:val="508825A3"/>
    <w:rsid w:val="50FD03C2"/>
    <w:rsid w:val="5264494A"/>
    <w:rsid w:val="530D3ED5"/>
    <w:rsid w:val="551D7E3A"/>
    <w:rsid w:val="55B4466F"/>
    <w:rsid w:val="55F03921"/>
    <w:rsid w:val="56261CC0"/>
    <w:rsid w:val="567D5E43"/>
    <w:rsid w:val="581D1A92"/>
    <w:rsid w:val="58680F9F"/>
    <w:rsid w:val="5A246980"/>
    <w:rsid w:val="5A70032F"/>
    <w:rsid w:val="5C3E5358"/>
    <w:rsid w:val="5CFB3F56"/>
    <w:rsid w:val="5D7F2A80"/>
    <w:rsid w:val="5F178EC8"/>
    <w:rsid w:val="5FF71A90"/>
    <w:rsid w:val="60966616"/>
    <w:rsid w:val="611A5B9F"/>
    <w:rsid w:val="618961D8"/>
    <w:rsid w:val="61A47F47"/>
    <w:rsid w:val="624C5573"/>
    <w:rsid w:val="63094630"/>
    <w:rsid w:val="63B9359E"/>
    <w:rsid w:val="64C91342"/>
    <w:rsid w:val="65174F0D"/>
    <w:rsid w:val="65176AD1"/>
    <w:rsid w:val="656E3E79"/>
    <w:rsid w:val="65D97D89"/>
    <w:rsid w:val="68727715"/>
    <w:rsid w:val="68BC6CB5"/>
    <w:rsid w:val="6905681A"/>
    <w:rsid w:val="692C4120"/>
    <w:rsid w:val="69DC32F2"/>
    <w:rsid w:val="6ACC2B32"/>
    <w:rsid w:val="6ADC58A7"/>
    <w:rsid w:val="6AE74AE5"/>
    <w:rsid w:val="6AEC10B6"/>
    <w:rsid w:val="6B35430D"/>
    <w:rsid w:val="6C6954F4"/>
    <w:rsid w:val="6CCC1748"/>
    <w:rsid w:val="6CF331FE"/>
    <w:rsid w:val="6E463D10"/>
    <w:rsid w:val="6EC06125"/>
    <w:rsid w:val="717D5034"/>
    <w:rsid w:val="71D1662D"/>
    <w:rsid w:val="725744CB"/>
    <w:rsid w:val="73D2321E"/>
    <w:rsid w:val="74BC0D0C"/>
    <w:rsid w:val="7512795A"/>
    <w:rsid w:val="76D73986"/>
    <w:rsid w:val="77D2369B"/>
    <w:rsid w:val="796C10D5"/>
    <w:rsid w:val="79A759B7"/>
    <w:rsid w:val="79BE71D9"/>
    <w:rsid w:val="7A7817B5"/>
    <w:rsid w:val="7A960E65"/>
    <w:rsid w:val="7B1B1A2F"/>
    <w:rsid w:val="7B334443"/>
    <w:rsid w:val="7C397091"/>
    <w:rsid w:val="7CC15DB0"/>
    <w:rsid w:val="7ECD5CAF"/>
    <w:rsid w:val="7F5721E9"/>
    <w:rsid w:val="7F741B08"/>
    <w:rsid w:val="7FE625C7"/>
    <w:rsid w:val="7FFEAA51"/>
    <w:rsid w:val="BFEFFFFC"/>
    <w:rsid w:val="DEF1B27B"/>
    <w:rsid w:val="EFFAFAC4"/>
    <w:rsid w:val="F7B6626B"/>
    <w:rsid w:val="F8FF00EF"/>
    <w:rsid w:val="FB5F1938"/>
    <w:rsid w:val="FD4C2FED"/>
    <w:rsid w:val="FF7D0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7"/>
    <w:autoRedefine/>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paragraph" w:styleId="4">
    <w:name w:val="heading 2"/>
    <w:basedOn w:val="1"/>
    <w:next w:val="1"/>
    <w:link w:val="2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24"/>
    <w:autoRedefine/>
    <w:qFormat/>
    <w:uiPriority w:val="0"/>
    <w:pPr>
      <w:widowControl w:val="0"/>
      <w:spacing w:after="120"/>
      <w:jc w:val="both"/>
    </w:pPr>
    <w:rPr>
      <w:rFonts w:ascii="Calibri" w:hAnsi="Calibri" w:eastAsia="仿宋_GB2312" w:cs="Times New Roman"/>
      <w:kern w:val="2"/>
      <w:sz w:val="32"/>
      <w:lang w:val="en-US" w:eastAsia="zh-CN" w:bidi="ar-SA"/>
    </w:r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customStyle="1" w:styleId="14">
    <w:name w:val="font11"/>
    <w:basedOn w:val="11"/>
    <w:autoRedefine/>
    <w:qFormat/>
    <w:uiPriority w:val="0"/>
    <w:rPr>
      <w:rFonts w:hint="default" w:ascii="Times New Roman" w:hAnsi="Times New Roman" w:cs="Times New Roman"/>
      <w:color w:val="000000"/>
      <w:sz w:val="22"/>
      <w:szCs w:val="22"/>
      <w:u w:val="none"/>
    </w:rPr>
  </w:style>
  <w:style w:type="character" w:customStyle="1" w:styleId="15">
    <w:name w:val="font01"/>
    <w:basedOn w:val="11"/>
    <w:autoRedefine/>
    <w:qFormat/>
    <w:uiPriority w:val="0"/>
    <w:rPr>
      <w:rFonts w:hint="eastAsia" w:ascii="宋体" w:hAnsi="宋体" w:eastAsia="宋体" w:cs="宋体"/>
      <w:color w:val="000000"/>
      <w:sz w:val="22"/>
      <w:szCs w:val="22"/>
      <w:u w:val="none"/>
    </w:rPr>
  </w:style>
  <w:style w:type="paragraph" w:customStyle="1" w:styleId="16">
    <w:name w:val="表格"/>
    <w:basedOn w:val="1"/>
    <w:link w:val="25"/>
    <w:autoRedefine/>
    <w:qFormat/>
    <w:uiPriority w:val="0"/>
    <w:pPr>
      <w:widowControl/>
      <w:adjustRightInd/>
      <w:snapToGrid/>
      <w:spacing w:line="240" w:lineRule="auto"/>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 w:type="character" w:customStyle="1" w:styleId="17">
    <w:name w:val="标题 1 Char"/>
    <w:link w:val="3"/>
    <w:autoRedefine/>
    <w:qFormat/>
    <w:uiPriority w:val="0"/>
    <w:rPr>
      <w:rFonts w:ascii="Times New Roman" w:hAnsi="Times New Roman" w:eastAsia="黑体"/>
      <w:b/>
      <w:kern w:val="44"/>
    </w:rPr>
  </w:style>
  <w:style w:type="paragraph" w:customStyle="1" w:styleId="18">
    <w:name w:val="列出段落2"/>
    <w:basedOn w:val="1"/>
    <w:autoRedefine/>
    <w:qFormat/>
    <w:uiPriority w:val="99"/>
    <w:pPr>
      <w:ind w:firstLine="420" w:firstLineChars="200"/>
    </w:pPr>
    <w:rPr>
      <w:rFonts w:ascii="Times New Roman" w:hAnsi="Times New Roman"/>
      <w:sz w:val="30"/>
    </w:rPr>
  </w:style>
  <w:style w:type="paragraph" w:customStyle="1" w:styleId="19">
    <w:name w:val="列出段落1"/>
    <w:basedOn w:val="1"/>
    <w:autoRedefine/>
    <w:qFormat/>
    <w:uiPriority w:val="34"/>
    <w:pPr>
      <w:ind w:firstLine="420" w:firstLineChars="200"/>
    </w:pPr>
  </w:style>
  <w:style w:type="paragraph" w:customStyle="1" w:styleId="20">
    <w:name w:val="List Paragraph"/>
    <w:basedOn w:val="1"/>
    <w:autoRedefine/>
    <w:qFormat/>
    <w:uiPriority w:val="34"/>
    <w:pPr>
      <w:widowControl/>
      <w:spacing w:before="100" w:beforeAutospacing="1" w:after="100" w:afterAutospacing="1"/>
      <w:jc w:val="left"/>
    </w:pPr>
    <w:rPr>
      <w:rFonts w:ascii="宋体" w:hAnsi="宋体" w:cs="宋体"/>
      <w:kern w:val="0"/>
      <w:sz w:val="24"/>
    </w:rPr>
  </w:style>
  <w:style w:type="character" w:customStyle="1" w:styleId="21">
    <w:name w:val="标题 2 Char"/>
    <w:link w:val="4"/>
    <w:autoRedefine/>
    <w:qFormat/>
    <w:uiPriority w:val="0"/>
    <w:rPr>
      <w:rFonts w:ascii="Arial" w:hAnsi="Arial" w:eastAsia="黑体"/>
      <w:b/>
      <w:sz w:val="32"/>
    </w:rPr>
  </w:style>
  <w:style w:type="character" w:customStyle="1" w:styleId="22">
    <w:name w:val="标题 3 Char"/>
    <w:link w:val="5"/>
    <w:autoRedefine/>
    <w:qFormat/>
    <w:uiPriority w:val="0"/>
    <w:rPr>
      <w:b/>
      <w:sz w:val="32"/>
    </w:rPr>
  </w:style>
  <w:style w:type="paragraph" w:customStyle="1" w:styleId="23">
    <w:name w:val="样式1"/>
    <w:basedOn w:val="1"/>
    <w:autoRedefine/>
    <w:qFormat/>
    <w:uiPriority w:val="0"/>
    <w:pPr>
      <w:spacing w:line="240" w:lineRule="auto"/>
      <w:ind w:firstLine="0" w:firstLineChars="0"/>
    </w:pPr>
    <w:rPr>
      <w:rFonts w:ascii="Times New Roman" w:hAnsi="Times New Roman" w:eastAsia="仿宋" w:cs="Times New Roman"/>
      <w:color w:val="000000"/>
      <w:sz w:val="24"/>
    </w:rPr>
  </w:style>
  <w:style w:type="character" w:customStyle="1" w:styleId="24">
    <w:name w:val="正文文本 Char"/>
    <w:link w:val="2"/>
    <w:autoRedefine/>
    <w:qFormat/>
    <w:uiPriority w:val="0"/>
    <w:rPr>
      <w:rFonts w:ascii="Calibri" w:hAnsi="Calibri" w:eastAsia="仿宋_GB2312" w:cs="Times New Roman"/>
      <w:kern w:val="2"/>
      <w:sz w:val="32"/>
      <w:lang w:val="en-US" w:eastAsia="zh-CN" w:bidi="ar-SA"/>
    </w:rPr>
  </w:style>
  <w:style w:type="character" w:customStyle="1" w:styleId="25">
    <w:name w:val="表格 Char"/>
    <w:link w:val="16"/>
    <w:autoRedefine/>
    <w:qFormat/>
    <w:uiPriority w:val="0"/>
    <w:rPr>
      <w:rFonts w:ascii="Times New Roman" w:hAnsi="Times New Roman" w:cs="黑体"/>
      <w:color w:val="000000" w:themeColor="text1"/>
      <w:kern w:val="0"/>
      <w:sz w:val="24"/>
      <w:szCs w:val="22"/>
      <w:u w:val="none"/>
      <w:lang w:bidi="ar"/>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23167</Words>
  <Characters>24448</Characters>
  <Lines>0</Lines>
  <Paragraphs>0</Paragraphs>
  <TotalTime>6</TotalTime>
  <ScaleCrop>false</ScaleCrop>
  <LinksUpToDate>false</LinksUpToDate>
  <CharactersWithSpaces>26084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摇到外婆桥。</cp:lastModifiedBy>
  <cp:lastPrinted>2022-07-31T07:08:00Z</cp:lastPrinted>
  <dcterms:modified xsi:type="dcterms:W3CDTF">2024-01-23T01:57:23Z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085B53FFB2A0496D946C2EE181207F75</vt:lpwstr>
  </property>
</Properties>
</file>