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附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highlight w:val="none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jc w:val="center"/>
        <w:textAlignment w:val="auto"/>
        <w:rPr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/>
          <w:spacing w:val="-20"/>
          <w:sz w:val="36"/>
          <w:szCs w:val="36"/>
          <w:highlight w:val="none"/>
        </w:rPr>
        <w:t>2023年度河南省DCMM贯标试点企业</w:t>
      </w:r>
      <w:r>
        <w:rPr>
          <w:rFonts w:hint="eastAsia" w:ascii="Times New Roman" w:hAnsi="Times New Roman"/>
          <w:spacing w:val="-20"/>
          <w:sz w:val="36"/>
          <w:szCs w:val="36"/>
          <w:highlight w:val="none"/>
          <w:lang w:eastAsia="zh-CN"/>
        </w:rPr>
        <w:t>拟入选</w:t>
      </w:r>
      <w:r>
        <w:rPr>
          <w:rFonts w:hint="eastAsia" w:ascii="Times New Roman" w:hAnsi="Times New Roman"/>
          <w:spacing w:val="-20"/>
          <w:sz w:val="36"/>
          <w:szCs w:val="36"/>
          <w:highlight w:val="none"/>
        </w:rPr>
        <w:t>名单</w:t>
      </w:r>
    </w:p>
    <w:bookmarkEnd w:id="0"/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12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洛阳利尔功能材料有限公司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河南心连心化学工业集团股份有限公司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富联科技（兰考）有限公司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永城盛大印刷科技股份有限公司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郑州方信新材料有限公司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河南大河速递有限公司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金丝猴食品有限公司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洛阳众智软件科技股份有限公司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中科九洲科技股份有限公司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河南大河网数字科技有限公司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郑州大数据发展有限公司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德通智能科技股份有限公司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焦作市明仁天然药物有限责任公司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中钢集团洛阳耐火材料研究院有限公司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新乡化纤股份有限公司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河南中钢网科技集团股份有限公司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河南信安通信技术股份有限公司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郑州威科姆科技股份有限公司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河南云帆电子科技有限公司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河南省中联玻璃有限责任公司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河南省新四方制药有限公司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河南省利盈环保科技股份有限公司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扶沟县昌茂纺织有限责任公司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河南正本清源科技发展股份有限公司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郑州煤机数耘智能科技有限公司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焦作天宝桓祥机械科技有限公司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淅川中联水泥有限公司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河南乔治白服饰有限公司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河南核工旭东电气有限公司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河南环宇玻璃科技股份有限公司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天瑞集团宁陵水泥有限公司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河南三川云汇信息服务有限公司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河南九天封头制造有限公司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河南奇点网络科技有限公司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河南得实信息技术有限公司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河南中盾云安信息科技有限公司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河南中原金科信息技术有限公司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郑州吉奥地理信息技术有限公司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河南泰隆电力设备股份有限公司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郑州云智信安安全技术有限公司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河南省脱颖实业有限公司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河南爱家校数据服务有限公司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河南海融软件有限公司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大博金科技发展有限公司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洛阳硕力信新能源科技有限公司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河南兵峰电子科技有限公司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河南众益信息科技有限公司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河南省长城门业有限公司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河南优易信息技术有限公司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郑州中业科技股份有限公司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濮阳丽曼俪家居有限公司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郑州慧业智能科技有限公司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河南中汇电子新材料有限公司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河南凯达科技有限公司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河南科慧产业园管理有限公司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顼龙科技（濮阳）有限公司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万杰智能科技股份有限公司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3E01"/>
    <w:rsid w:val="17B83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2章节"/>
    <w:qFormat/>
    <w:uiPriority w:val="99"/>
    <w:pPr>
      <w:spacing w:after="20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2024-01-11T09:01:00Z</dcterms:created>
  <dc:creator>尘夏</dc:creator>
  <cp:lastModifiedBy>尘夏</cp:lastModifiedBy>
  <dcterms:modified xsi:type="dcterms:W3CDTF">2024-01-11T09:01:58Z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