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OLE_LINK2"/>
      <w:bookmarkStart w:id="1" w:name="OLE_LINK4"/>
      <w:bookmarkStart w:id="2" w:name="OLE_LINK1"/>
      <w:bookmarkStart w:id="3" w:name="OLE_LINK3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4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《郑州航空港经济综合实验区关于支持“专精特新”中小企业高质量发展的实施意见(征求意见稿)》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bookmarkEnd w:id="4"/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0"/>
    <w:bookmarkEnd w:id="1"/>
    <w:bookmarkEnd w:id="2"/>
    <w:bookmarkEnd w:id="3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一、起草背景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6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月，</w:t>
      </w:r>
      <w:r>
        <w:rPr>
          <w:rFonts w:hint="eastAsia" w:eastAsia="仿宋_GB2312"/>
          <w:sz w:val="32"/>
          <w:szCs w:val="32"/>
          <w:lang w:val="en-US" w:eastAsia="zh-CN"/>
        </w:rPr>
        <w:t>国务院促进中小企业发展工作领导小组办公室</w:t>
      </w:r>
      <w:r>
        <w:rPr>
          <w:rFonts w:hint="eastAsia" w:eastAsia="仿宋_GB2312"/>
          <w:sz w:val="32"/>
          <w:szCs w:val="32"/>
        </w:rPr>
        <w:t>印发了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关于印发为“专精特新”中小企业办实事清单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的通知》（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工信部企业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〔20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170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号），从加大财税支持力度、完善信贷支持政策、畅通市场化融资渠道、推动产业链协同创新、提升企业创新能力、推动数字化转型、加强人才智力支持、助力企业开拓市场、提供精准对接服务、开展万人助万企活动等10个方面提出31项具体举措。为贯彻落实党中央、国务院决策部署，进一步支持“专精特新”中小企业高质量发展，带动更多中小企业走“专精特新”发展之路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出台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《郑州航空港经济综合实验区关于支持“专精特新”中小企业高质量发展的实施意见(征求意见稿)》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，将对郑州航空港区产业培育产生积极作用。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编制依据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国务院促进中小企业发展工作领导小组办公室《关于印发为“专精特新”中小企业办实事清单的通知》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工信部企业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工业和信息化部《关于印发优质中小企业梯度培育管理暂行办法的通知》（工信部企业〔2022〕63 号）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河南省工业和信息化厅 《关于印发河南省优质中小企业梯度培育管理实施细则（暂行）的通知》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豫工信企业〔2023〕45 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河南省工业和信息化厅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《河南省专精特新企业培育支持办法（试行）（草案征求意见稿）》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河南省工业和信息化厅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《河南省促进中小企业发展条例（草案征求意见稿）》；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郑州市人民政府办公厅《关于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“专精特新”中小企业高质量发展的实施意见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》（郑政办〔2022〕36号）。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" w:eastAsia="楷体_GB2312" w:cs="楷体"/>
          <w:b w:val="0"/>
          <w:bCs w:val="0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实施意见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共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个部分、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楷体" w:eastAsia="楷体_GB2312" w:cs="楷体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第一部分是</w:t>
      </w:r>
      <w:r>
        <w:rPr>
          <w:rFonts w:hint="eastAsia" w:ascii="楷体_GB2312" w:hAnsi="楷体" w:eastAsia="楷体_GB2312" w:cs="楷体"/>
          <w:b w:val="0"/>
          <w:bCs w:val="0"/>
          <w:color w:val="auto"/>
          <w:kern w:val="2"/>
          <w:sz w:val="32"/>
          <w:szCs w:val="32"/>
          <w:u w:val="none"/>
        </w:rPr>
        <w:t>梯度培育专项</w:t>
      </w:r>
      <w:r>
        <w:rPr>
          <w:rFonts w:hint="eastAsia" w:ascii="楷体_GB2312" w:hAnsi="楷体" w:eastAsia="楷体_GB2312" w:cs="楷体"/>
          <w:b w:val="0"/>
          <w:bCs w:val="0"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建立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优质中小企业梯度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培育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库、实施梯度奖励激励、加大企业招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引力度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3方面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第二部分是创新驱动专项。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包括支持研发平台建设、产业关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u w:val="none"/>
          <w:lang w:val="en-US" w:eastAsia="zh-CN"/>
        </w:rPr>
        <w:t>键共性技术研发和重大战略产品研制、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 w:bidi="ar-SA"/>
        </w:rPr>
        <w:t>支持企业生产关键配套产品3方面。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" w:eastAsia="楷体_GB2312" w:cs="楷体"/>
          <w:b w:val="0"/>
          <w:bCs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第三部分是数字赋能专项。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包括加快数字化转型进程</w:t>
      </w:r>
      <w:r>
        <w:rPr>
          <w:rFonts w:hint="eastAsia" w:ascii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推动企业上云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开展智能化诊断服务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3方面。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" w:eastAsia="楷体_GB2312" w:cs="楷体"/>
          <w:b w:val="0"/>
          <w:bCs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第四部分是金融助力专项。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包括开展专业化信贷服务、降低综合融资成本、开展常态化银企对接活动、支持“专精特新”企业“规改股”“股上市”、创新金融服务5方面。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" w:eastAsia="楷体_GB2312" w:cs="楷体"/>
          <w:b w:val="0"/>
          <w:bCs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第五部分是</w:t>
      </w:r>
      <w:r>
        <w:rPr>
          <w:rFonts w:hint="eastAsia" w:ascii="楷体_GB2312" w:hAnsi="楷体" w:eastAsia="楷体_GB2312" w:cs="楷体"/>
          <w:b w:val="0"/>
          <w:bCs w:val="0"/>
          <w:color w:val="auto"/>
          <w:sz w:val="32"/>
          <w:szCs w:val="32"/>
          <w:u w:val="none"/>
        </w:rPr>
        <w:t>品</w:t>
      </w:r>
      <w:r>
        <w:rPr>
          <w:rFonts w:hint="default" w:ascii="楷体_GB2312" w:hAnsi="楷体" w:eastAsia="楷体_GB2312" w:cs="楷体"/>
          <w:b w:val="0"/>
          <w:bCs w:val="0"/>
          <w:color w:val="auto"/>
          <w:sz w:val="32"/>
          <w:szCs w:val="32"/>
          <w:u w:val="none"/>
        </w:rPr>
        <w:t>质</w:t>
      </w:r>
      <w:r>
        <w:rPr>
          <w:rFonts w:hint="eastAsia" w:ascii="楷体_GB2312" w:hAnsi="楷体" w:eastAsia="楷体_GB2312" w:cs="楷体"/>
          <w:b w:val="0"/>
          <w:bCs w:val="0"/>
          <w:color w:val="auto"/>
          <w:sz w:val="32"/>
          <w:szCs w:val="32"/>
          <w:u w:val="none"/>
          <w:lang w:eastAsia="zh-CN"/>
        </w:rPr>
        <w:t>提升</w:t>
      </w:r>
      <w:r>
        <w:rPr>
          <w:rFonts w:hint="eastAsia" w:ascii="楷体_GB2312" w:hAnsi="楷体" w:eastAsia="楷体_GB2312" w:cs="楷体"/>
          <w:b w:val="0"/>
          <w:bCs w:val="0"/>
          <w:color w:val="auto"/>
          <w:sz w:val="32"/>
          <w:szCs w:val="32"/>
          <w:u w:val="none"/>
        </w:rPr>
        <w:t>专项</w:t>
      </w:r>
      <w:r>
        <w:rPr>
          <w:rFonts w:hint="eastAsia" w:ascii="楷体_GB2312" w:hAnsi="楷体" w:eastAsia="楷体_GB2312" w:cs="楷体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包括支持企业加强质量建设、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提升品牌竞争力、开展标准化建设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3方面。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" w:eastAsia="楷体_GB2312" w:cs="楷体"/>
          <w:b w:val="0"/>
          <w:bCs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第六部分是</w:t>
      </w:r>
      <w:r>
        <w:rPr>
          <w:rFonts w:hint="eastAsia" w:ascii="楷体_GB2312" w:hAnsi="楷体" w:eastAsia="楷体_GB2312" w:cs="楷体"/>
          <w:b w:val="0"/>
          <w:bCs w:val="0"/>
          <w:color w:val="auto"/>
          <w:sz w:val="32"/>
          <w:szCs w:val="32"/>
          <w:u w:val="none"/>
          <w:lang w:val="en-US" w:eastAsia="zh-CN"/>
        </w:rPr>
        <w:t>市场开拓专项</w:t>
      </w:r>
      <w:r>
        <w:rPr>
          <w:rFonts w:hint="eastAsia" w:ascii="楷体_GB2312" w:hAnsi="楷体" w:eastAsia="楷体_GB2312" w:cs="楷体"/>
          <w:b w:val="0"/>
          <w:bCs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包括支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企业开拓市场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加强企业宣传推广、加强政府采购支持3方面。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" w:eastAsia="楷体_GB2312" w:cs="楷体"/>
          <w:b w:val="0"/>
          <w:bCs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第七部分是</w:t>
      </w:r>
      <w:r>
        <w:rPr>
          <w:rFonts w:hint="eastAsia" w:ascii="楷体_GB2312" w:hAnsi="楷体" w:eastAsia="楷体_GB2312" w:cs="楷体"/>
          <w:b w:val="0"/>
          <w:bCs w:val="0"/>
          <w:color w:val="auto"/>
          <w:sz w:val="32"/>
          <w:szCs w:val="32"/>
          <w:u w:val="none"/>
          <w:lang w:val="en-US" w:eastAsia="zh-CN"/>
        </w:rPr>
        <w:t>平台支撑专项。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包括加快小微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企业园建设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支持平台发展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2方面。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" w:eastAsia="楷体_GB2312" w:cs="楷体"/>
          <w:b w:val="0"/>
          <w:bCs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第八部分是</w:t>
      </w:r>
      <w:r>
        <w:rPr>
          <w:rFonts w:hint="eastAsia" w:ascii="楷体_GB2312" w:hAnsi="楷体" w:eastAsia="楷体_GB2312" w:cs="楷体"/>
          <w:b w:val="0"/>
          <w:bCs w:val="0"/>
          <w:color w:val="auto"/>
          <w:sz w:val="32"/>
          <w:szCs w:val="32"/>
          <w:u w:val="none"/>
          <w:lang w:val="en-US" w:eastAsia="zh-CN"/>
        </w:rPr>
        <w:t>绿色发展专项。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大力开展节能降碳、加快绿色制造体系建设2方面。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" w:eastAsia="楷体_GB2312" w:cs="楷体"/>
          <w:b w:val="0"/>
          <w:bCs w:val="0"/>
          <w:color w:val="auto"/>
          <w:sz w:val="32"/>
          <w:szCs w:val="32"/>
          <w:u w:val="none"/>
          <w:lang w:val="en-US" w:eastAsia="zh-CN"/>
        </w:rPr>
        <w:t>第九部分是要素保障专项。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落实减税降费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政策、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</w:rPr>
        <w:t>加强人才支撑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强化用地保障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第十部分是服务优化专项。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加强知识产权服务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</w:rPr>
        <w:t>持续优化营商环境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2方面。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17BCC"/>
    <w:multiLevelType w:val="singleLevel"/>
    <w:tmpl w:val="64817BCC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4819949"/>
    <w:multiLevelType w:val="singleLevel"/>
    <w:tmpl w:val="64819949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6482C46B"/>
    <w:multiLevelType w:val="singleLevel"/>
    <w:tmpl w:val="6482C46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21A44"/>
    <w:rsid w:val="4702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color w:val="000000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2"/>
    <w:basedOn w:val="1"/>
    <w:next w:val="2"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 w:cs="楷体_GB2312"/>
      <w:kern w:val="44"/>
      <w:sz w:val="28"/>
      <w:szCs w:val="28"/>
    </w:rPr>
  </w:style>
  <w:style w:type="paragraph" w:styleId="4">
    <w:name w:val="Body Text First Indent"/>
    <w:basedOn w:val="2"/>
    <w:next w:val="1"/>
    <w:uiPriority w:val="0"/>
    <w:pPr>
      <w:widowControl w:val="0"/>
      <w:spacing w:before="40" w:after="40"/>
      <w:ind w:firstLine="420"/>
      <w:jc w:val="both"/>
    </w:pPr>
    <w:rPr>
      <w:rFonts w:ascii="Calibri" w:hAnsi="Calibri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Body Text First Indent 2"/>
    <w:basedOn w:val="5"/>
    <w:next w:val="1"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10">
    <w:name w:val="无间隔1"/>
    <w:basedOn w:val="1"/>
    <w:qFormat/>
    <w:uiPriority w:val="1"/>
    <w:pPr>
      <w:spacing w:line="400" w:lineRule="exact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2023-06-21T09:25:00Z</dcterms:created>
  <dc:creator>Lenovo</dc:creator>
  <cp:lastModifiedBy>Lenovo</cp:lastModifiedBy>
  <dcterms:modified xsi:type="dcterms:W3CDTF">2023-06-21T09:29:39Z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